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necesidad-en-salud-en-colombia"/>
    <w:p>
      <w:pPr>
        <w:pStyle w:val="Heading1"/>
      </w:pPr>
      <w:r>
        <w:t xml:space="preserve">Necesidad en salud en Colombia</w:t>
      </w:r>
    </w:p>
    <w:p>
      <w:pPr>
        <w:pStyle w:val="FirstParagraph"/>
      </w:pPr>
      <w:r>
        <w:t xml:space="preserve">Índice de Necesidad en Salud Municipal · octubre de 2026</w:t>
      </w:r>
    </w:p>
    <w:bookmarkEnd w:id="20"/>
    <w:bookmarkStart w:id="23" w:name="cifras-y-mensajes-clave"/>
    <w:p>
      <w:pPr>
        <w:pStyle w:val="Heading1"/>
      </w:pPr>
      <w:r>
        <w:t xml:space="preserve">Cifras y mensajes clave</w:t>
      </w:r>
    </w:p>
    <w:tbl>
      <w:tblPr>
        <w:tblStyle w:val="Table"/>
        <w:tblLook w:firstRow="1" w:lastRow="0" w:firstColumn="0" w:lastColumn="0" w:noHBand="0" w:noVBand="0" w:val="0020"/>
        <w:jc w:val="start"/>
        <w:tblBorders>
          <w:top w:val="single" w:sz="4" w:color="BFC5CE"/>
          <w:bottom w:val="single" w:sz="4" w:color="BFC5CE"/>
          <w:insideH w:val="single" w:sz="4" w:color="BFC5CE"/>
          <w:left w:val="nil"/>
          <w:right w:val="nil"/>
          <w:insideV w:val="nil"/>
        </w:tblBorders>
        <w:tblLayout w:type="fixed"/>
        <w:tblW w:w="5000" w:type="pct"/>
      </w:tblPr>
      <w:tblGrid>
        <w:gridCol w:w="3352"/>
        <w:gridCol w:w="3253"/>
        <w:gridCol w:w="3253"/>
      </w:tblGrid>
      <w:tr>
        <w:trPr>
          <w:tblHeader w:val="true"/>
        </w:trPr>
        <w:tc>
          <w:tcPr>
            <w:tcW w:type="dxa" w:w="3352"/>
            <w:shd w:val="clear" w:color="auto" w:fill="EDEFF2"/>
          </w:tcPr>
          <w:p>
            <w:pPr>
              <w:pStyle w:val="Compact"/>
              <w:spacing w:after="20"/>
              <w:jc w:val="left"/>
            </w:pPr>
            <w:r>
              <w:rPr>
                <w:b/>
                <w:sz w:val="18"/>
              </w:rPr>
              <w:t xml:space="preserve">Indicador</w:t>
            </w:r>
          </w:p>
        </w:tc>
        <w:tc>
          <w:tcPr>
            <w:tcW w:type="dxa" w:w="3253"/>
            <w:shd w:val="clear" w:color="auto" w:fill="EDEFF2"/>
          </w:tcPr>
          <w:p>
            <w:pPr>
              <w:pStyle w:val="Compact"/>
              <w:spacing w:after="20"/>
              <w:jc w:val="left"/>
            </w:pPr>
            <w:r>
              <w:rPr>
                <w:b/>
                <w:sz w:val="18"/>
              </w:rPr>
              <w:t xml:space="preserve">Valor</w:t>
            </w:r>
          </w:p>
        </w:tc>
        <w:tc>
          <w:tcPr>
            <w:tcW w:type="dxa" w:w="3253"/>
            <w:shd w:val="clear" w:color="auto" w:fill="EDEFF2"/>
          </w:tcPr>
          <w:p>
            <w:pPr>
              <w:pStyle w:val="Compact"/>
              <w:spacing w:after="20"/>
              <w:jc w:val="left"/>
            </w:pPr>
            <w:r>
              <w:rPr>
                <w:b/>
                <w:sz w:val="18"/>
              </w:rPr>
              <w:t xml:space="preserve">Contexto</w:t>
            </w:r>
          </w:p>
        </w:tc>
      </w:tr>
      <w:tr>
        <w:tc>
          <w:tcPr>
            <w:tcW w:type="dxa" w:w="3352"/>
          </w:tcPr>
          <w:p>
            <w:pPr>
              <w:pStyle w:val="Compact"/>
              <w:spacing w:after="20"/>
              <w:jc w:val="left"/>
            </w:pPr>
            <w:r>
              <w:rPr>
                <w:sz w:val="18"/>
              </w:rPr>
              <w:t xml:space="preserve">Municipios ordenados</w:t>
            </w:r>
          </w:p>
        </w:tc>
        <w:tc>
          <w:tcPr>
            <w:tcW w:type="dxa" w:w="3253"/>
          </w:tcPr>
          <w:p>
            <w:pPr>
              <w:pStyle w:val="Compact"/>
              <w:spacing w:after="20"/>
              <w:jc w:val="left"/>
            </w:pPr>
            <w:r>
              <w:rPr>
                <w:bCs/>
                <w:b/>
                <w:sz w:val="18"/>
              </w:rPr>
              <w:t xml:space="preserve">1.121</w:t>
            </w:r>
          </w:p>
        </w:tc>
        <w:tc>
          <w:tcPr>
            <w:tcW w:type="dxa" w:w="3253"/>
          </w:tcPr>
          <w:p>
            <w:pPr>
              <w:pStyle w:val="Compact"/>
              <w:spacing w:after="20"/>
              <w:jc w:val="left"/>
            </w:pPr>
            <w:r>
              <w:rPr>
                <w:sz w:val="18"/>
              </w:rPr>
              <w:t xml:space="preserve">de los 1.104 municipios y 18 áreas no municipalizadas; 1 sin puesto por falta de datos</w:t>
            </w:r>
          </w:p>
        </w:tc>
      </w:tr>
      <w:tr>
        <w:tc>
          <w:tcPr>
            <w:tcW w:type="dxa" w:w="3352"/>
          </w:tcPr>
          <w:p>
            <w:pPr>
              <w:pStyle w:val="Compact"/>
              <w:spacing w:after="20"/>
              <w:jc w:val="left"/>
            </w:pPr>
            <w:r>
              <w:rPr>
                <w:sz w:val="18"/>
              </w:rPr>
              <w:t xml:space="preserve">Departamentos</w:t>
            </w:r>
          </w:p>
        </w:tc>
        <w:tc>
          <w:tcPr>
            <w:tcW w:type="dxa" w:w="3253"/>
          </w:tcPr>
          <w:p>
            <w:pPr>
              <w:pStyle w:val="Compact"/>
              <w:spacing w:after="20"/>
              <w:jc w:val="left"/>
            </w:pPr>
            <w:r>
              <w:rPr>
                <w:bCs/>
                <w:b/>
                <w:sz w:val="18"/>
              </w:rPr>
              <w:t xml:space="preserve">32</w:t>
            </w:r>
          </w:p>
        </w:tc>
        <w:tc>
          <w:tcPr>
            <w:tcW w:type="dxa" w:w="3253"/>
          </w:tcPr>
          <w:p>
            <w:pPr>
              <w:pStyle w:val="Compact"/>
              <w:spacing w:after="20"/>
              <w:jc w:val="left"/>
            </w:pPr>
            <w:r>
              <w:rPr>
                <w:sz w:val="18"/>
              </w:rPr>
              <w:t xml:space="preserve">y Bogotá, D. C.</w:t>
            </w:r>
          </w:p>
        </w:tc>
      </w:tr>
      <w:tr>
        <w:tc>
          <w:tcPr>
            <w:tcW w:type="dxa" w:w="3352"/>
          </w:tcPr>
          <w:p>
            <w:pPr>
              <w:pStyle w:val="Compact"/>
              <w:spacing w:after="20"/>
              <w:jc w:val="left"/>
            </w:pPr>
            <w:r>
              <w:rPr>
                <w:sz w:val="18"/>
              </w:rPr>
              <w:t xml:space="preserve">Municipios en el quinto de mayor necesidad</w:t>
            </w:r>
          </w:p>
        </w:tc>
        <w:tc>
          <w:tcPr>
            <w:tcW w:type="dxa" w:w="3253"/>
          </w:tcPr>
          <w:p>
            <w:pPr>
              <w:pStyle w:val="Compact"/>
              <w:spacing w:after="20"/>
              <w:jc w:val="left"/>
            </w:pPr>
            <w:r>
              <w:rPr>
                <w:bCs/>
                <w:b/>
                <w:sz w:val="18"/>
              </w:rPr>
              <w:t xml:space="preserve">224</w:t>
            </w:r>
          </w:p>
        </w:tc>
        <w:tc>
          <w:tcPr>
            <w:tcW w:type="dxa" w:w="3253"/>
          </w:tcPr>
          <w:p>
            <w:pPr>
              <w:pStyle w:val="Compact"/>
              <w:spacing w:after="20"/>
              <w:jc w:val="left"/>
            </w:pPr>
            <w:r>
              <w:rPr>
                <w:sz w:val="18"/>
              </w:rPr>
              <w:t xml:space="preserve">11,2 % de la población</w:t>
            </w:r>
          </w:p>
        </w:tc>
      </w:tr>
      <w:tr>
        <w:tc>
          <w:tcPr>
            <w:tcW w:type="dxa" w:w="3352"/>
          </w:tcPr>
          <w:p>
            <w:pPr>
              <w:pStyle w:val="Compact"/>
              <w:spacing w:after="20"/>
              <w:jc w:val="left"/>
            </w:pPr>
            <w:r>
              <w:rPr>
                <w:sz w:val="18"/>
              </w:rPr>
              <w:t xml:space="preserve">Departamento con más necesidad</w:t>
            </w:r>
          </w:p>
        </w:tc>
        <w:tc>
          <w:tcPr>
            <w:tcW w:type="dxa" w:w="3253"/>
          </w:tcPr>
          <w:p>
            <w:pPr>
              <w:pStyle w:val="Compact"/>
              <w:spacing w:after="20"/>
              <w:jc w:val="left"/>
            </w:pPr>
            <w:r>
              <w:rPr>
                <w:bCs/>
                <w:b/>
                <w:sz w:val="18"/>
              </w:rPr>
              <w:t xml:space="preserve">Vaupés</w:t>
            </w:r>
          </w:p>
        </w:tc>
        <w:tc>
          <w:tcPr>
            <w:tcW w:type="dxa" w:w="3253"/>
          </w:tcPr>
          <w:p>
            <w:pPr>
              <w:pStyle w:val="Compact"/>
              <w:spacing w:after="20"/>
              <w:jc w:val="left"/>
            </w:pPr>
            <w:r>
              <w:rPr>
                <w:sz w:val="18"/>
              </w:rPr>
              <w:t xml:space="preserve">índice 98</w:t>
            </w:r>
          </w:p>
        </w:tc>
      </w:tr>
      <w:tr>
        <w:tc>
          <w:tcPr>
            <w:tcW w:type="dxa" w:w="3352"/>
          </w:tcPr>
          <w:p>
            <w:pPr>
              <w:pStyle w:val="Compact"/>
              <w:spacing w:after="20"/>
              <w:jc w:val="left"/>
            </w:pPr>
            <w:r>
              <w:rPr>
                <w:sz w:val="18"/>
              </w:rPr>
              <w:t xml:space="preserve">Departamento con más desigualdad interna</w:t>
            </w:r>
          </w:p>
        </w:tc>
        <w:tc>
          <w:tcPr>
            <w:tcW w:type="dxa" w:w="3253"/>
          </w:tcPr>
          <w:p>
            <w:pPr>
              <w:pStyle w:val="Compact"/>
              <w:spacing w:after="20"/>
              <w:jc w:val="left"/>
            </w:pPr>
            <w:r>
              <w:rPr>
                <w:bCs/>
                <w:b/>
                <w:sz w:val="18"/>
              </w:rPr>
              <w:t xml:space="preserve">Nariño</w:t>
            </w:r>
          </w:p>
        </w:tc>
        <w:tc>
          <w:tcPr>
            <w:tcW w:type="dxa" w:w="3253"/>
          </w:tcPr>
          <w:p>
            <w:pPr>
              <w:pStyle w:val="Compact"/>
              <w:spacing w:after="20"/>
              <w:jc w:val="left"/>
            </w:pPr>
            <w:r>
              <w:rPr>
                <w:sz w:val="18"/>
              </w:rPr>
              <w:t xml:space="preserve">entre sus municipios</w:t>
            </w:r>
          </w:p>
        </w:tc>
      </w:tr>
      <w:tr>
        <w:tc>
          <w:tcPr>
            <w:tcW w:type="dxa" w:w="3352"/>
          </w:tcPr>
          <w:p>
            <w:pPr>
              <w:pStyle w:val="Compact"/>
              <w:spacing w:after="20"/>
              <w:jc w:val="left"/>
            </w:pPr>
            <w:r>
              <w:rPr>
                <w:sz w:val="18"/>
              </w:rPr>
              <w:t xml:space="preserve">Municipios con posición estable</w:t>
            </w:r>
          </w:p>
        </w:tc>
        <w:tc>
          <w:tcPr>
            <w:tcW w:type="dxa" w:w="3253"/>
          </w:tcPr>
          <w:p>
            <w:pPr>
              <w:pStyle w:val="Compact"/>
              <w:spacing w:after="20"/>
              <w:jc w:val="left"/>
            </w:pPr>
            <w:r>
              <w:rPr>
                <w:bCs/>
                <w:b/>
                <w:sz w:val="18"/>
              </w:rPr>
              <w:t xml:space="preserve">352</w:t>
            </w:r>
          </w:p>
        </w:tc>
        <w:tc>
          <w:tcPr>
            <w:tcW w:type="dxa" w:w="3253"/>
          </w:tcPr>
          <w:p>
            <w:pPr>
              <w:pStyle w:val="Compact"/>
              <w:spacing w:after="20"/>
              <w:jc w:val="left"/>
            </w:pPr>
            <w:r>
              <w:rPr>
                <w:sz w:val="18"/>
              </w:rPr>
              <w:t xml:space="preserve">de 1.121 frente a los pesos</w:t>
            </w:r>
          </w:p>
        </w:tc>
      </w:tr>
    </w:tbl>
    <w:bookmarkStart w:id="21" w:name="lo-que-dicen-los-datos"/>
    <w:p>
      <w:pPr>
        <w:pStyle w:val="Heading4"/>
      </w:pPr>
      <w:r>
        <w:t xml:space="preserve">Lo que dicen los datos</w:t>
      </w:r>
    </w:p>
    <w:p>
      <w:pPr>
        <w:numPr>
          <w:ilvl w:val="0"/>
          <w:numId w:val="1001"/>
        </w:numPr>
        <w:pStyle w:val="Compact"/>
      </w:pPr>
      <w:r>
        <w:rPr>
          <w:bCs/>
          <w:b/>
        </w:rPr>
        <w:t xml:space="preserve">La mayor necesidad en salud del país se concentra en Vaupés, Vichada, Guainía, Chocó y La Guajira</w:t>
      </w:r>
      <w:r>
        <w:t xml:space="preserve">, los cinco departamentos con el índice ponderado por población más alto.</w:t>
      </w:r>
    </w:p>
    <w:p>
      <w:pPr>
        <w:numPr>
          <w:ilvl w:val="0"/>
          <w:numId w:val="1001"/>
        </w:numPr>
        <w:pStyle w:val="Compact"/>
      </w:pPr>
      <w:r>
        <w:rPr>
          <w:bCs/>
          <w:b/>
        </w:rPr>
        <w:t xml:space="preserve">224 municipios forman el quinto de mayor necesidad</w:t>
      </w:r>
      <w:r>
        <w:t xml:space="preserve">; allí vive el 11,2 % de la población del país (6,0 millones de personas).</w:t>
      </w:r>
    </w:p>
    <w:p>
      <w:pPr>
        <w:numPr>
          <w:ilvl w:val="0"/>
          <w:numId w:val="1001"/>
        </w:numPr>
        <w:pStyle w:val="Compact"/>
      </w:pPr>
      <w:r>
        <w:rPr>
          <w:bCs/>
          <w:b/>
        </w:rPr>
        <w:t xml:space="preserve">En esos municipios pesan sobre todo dos dimensiones:</w:t>
      </w:r>
      <w:r>
        <w:t xml:space="preserve"> </w:t>
      </w:r>
      <w:r>
        <w:t xml:space="preserve">agua y vivienda (percentil mediano 89) y pobreza (88).</w:t>
      </w:r>
    </w:p>
    <w:p>
      <w:pPr>
        <w:numPr>
          <w:ilvl w:val="0"/>
          <w:numId w:val="1001"/>
        </w:numPr>
        <w:pStyle w:val="Compact"/>
      </w:pPr>
      <w:r>
        <w:rPr>
          <w:bCs/>
          <w:b/>
        </w:rPr>
        <w:t xml:space="preserve">Los departamentos con más distancia entre sus municipios</w:t>
      </w:r>
      <w:r>
        <w:t xml:space="preserve"> </w:t>
      </w:r>
      <w:r>
        <w:t xml:space="preserve">son Nariño, Cauca y Antioquia: allí el promedio esconde municipios en situación muy distinta.</w:t>
      </w:r>
    </w:p>
    <w:p>
      <w:pPr>
        <w:numPr>
          <w:ilvl w:val="0"/>
          <w:numId w:val="1001"/>
        </w:numPr>
        <w:pStyle w:val="Compact"/>
      </w:pPr>
      <w:r>
        <w:rPr>
          <w:bCs/>
          <w:b/>
        </w:rPr>
        <w:t xml:space="preserve">El orden es robusto a los pesos:</w:t>
      </w:r>
      <w:r>
        <w:t xml:space="preserve"> </w:t>
      </w:r>
      <w:r>
        <w:t xml:space="preserve">con pesos iguales, solo normativos o solo del AFM, la correlación de orden con el índice final está entre 0,97 y 1,00.</w:t>
      </w:r>
    </w:p>
    <w:p>
      <w:pPr>
        <w:numPr>
          <w:ilvl w:val="0"/>
          <w:numId w:val="1001"/>
        </w:numPr>
        <w:pStyle w:val="Compact"/>
      </w:pPr>
      <w:r>
        <w:rPr>
          <w:bCs/>
          <w:b/>
        </w:rPr>
        <w:t xml:space="preserve">51 municipios tienen alerta de posible subregistro de defunciones</w:t>
      </w:r>
      <w:r>
        <w:t xml:space="preserve">, sobre todo en Chocó, 8; Bolívar, 6; Amazonas, 6; Guainía, 6. Su mortalidad registrada es muy baja para su pobreza, así que su necesidad real puede ser mayor que la del índice.</w:t>
      </w:r>
    </w:p>
    <w:bookmarkEnd w:id="21"/>
    <w:bookmarkStart w:id="22" w:name="cómo-leer-este-documento"/>
    <w:p>
      <w:pPr>
        <w:pStyle w:val="Heading4"/>
      </w:pPr>
      <w:r>
        <w:t xml:space="preserve">Cómo leer este documento</w:t>
      </w:r>
    </w:p>
    <w:p>
      <w:pPr>
        <w:numPr>
          <w:ilvl w:val="0"/>
          <w:numId w:val="1002"/>
        </w:numPr>
        <w:pStyle w:val="Compact"/>
      </w:pPr>
      <w:r>
        <w:rPr>
          <w:bCs/>
          <w:b/>
        </w:rPr>
        <w:t xml:space="preserve">El índice va de 0 a 100</w:t>
      </w:r>
      <w:r>
        <w:t xml:space="preserve"> </w:t>
      </w:r>
      <w:r>
        <w:t xml:space="preserve">y compara cada municipio con los demás del país: 80 significa que tiene más necesidad en salud que el 80 % de los municipios. No califica la gestión de la alcaldía.</w:t>
      </w:r>
    </w:p>
    <w:p>
      <w:pPr>
        <w:numPr>
          <w:ilvl w:val="0"/>
          <w:numId w:val="1002"/>
        </w:numPr>
        <w:pStyle w:val="Compact"/>
      </w:pPr>
      <w:r>
        <w:rPr>
          <w:bCs/>
          <w:b/>
        </w:rPr>
        <w:t xml:space="preserve">Colores.</w:t>
      </w:r>
      <w:r>
        <w:t xml:space="preserve"> </w:t>
      </w:r>
      <w:r>
        <w:t xml:space="preserve">Un solo tono: más oscuro, más necesidad. Los cinco tonos son los quintos del país, iguales en todos los mapas y en todos los departamentos.</w:t>
      </w:r>
    </w:p>
    <w:p>
      <w:pPr>
        <w:numPr>
          <w:ilvl w:val="0"/>
          <w:numId w:val="1002"/>
        </w:numPr>
        <w:pStyle w:val="Compact"/>
      </w:pPr>
      <w:r>
        <w:rPr>
          <w:bCs/>
          <w:b/>
        </w:rPr>
        <w:t xml:space="preserve">Departamentos.</w:t>
      </w:r>
      <w:r>
        <w:t xml:space="preserve"> </w:t>
      </w:r>
      <w:r>
        <w:t xml:space="preserve">El índice de un departamento es el promedio del índice de sus municipios ponderado por población, en la misma escala de 0 a 100.</w:t>
      </w:r>
    </w:p>
    <w:p>
      <w:pPr>
        <w:numPr>
          <w:ilvl w:val="0"/>
          <w:numId w:val="1002"/>
        </w:numPr>
        <w:pStyle w:val="Compact"/>
      </w:pPr>
      <w:r>
        <w:rPr>
          <w:bCs/>
          <w:b/>
        </w:rPr>
        <w:t xml:space="preserve">Edición pública.</w:t>
      </w:r>
      <w:r>
        <w:t xml:space="preserve"> </w:t>
      </w:r>
      <w:r>
        <w:t xml:space="preserve">Muestra el país, los departamentos y el quinto nacional de cada municipio. El valor exacto, el puesto y las dimensiones de cada municipio están en la capa de detalle.</w:t>
      </w:r>
    </w:p>
    <w:bookmarkEnd w:id="22"/>
    <w:bookmarkEnd w:id="23"/>
    <w:bookmarkStart w:id="24" w:name="índice"/>
    <w:p>
      <w:pPr>
        <w:pStyle w:val="Heading1"/>
      </w:pPr>
      <w:r>
        <w:t xml:space="preserve">Índice</w:t>
      </w:r>
    </w:p>
    <w:p>
      <w:pPr>
        <w:numPr>
          <w:ilvl w:val="0"/>
          <w:numId w:val="1003"/>
        </w:numPr>
        <w:pStyle w:val="Compact"/>
      </w:pPr>
      <w:hyperlink w:anchor="donde">
        <w:r>
          <w:rPr>
            <w:rStyle w:val="Hyperlink"/>
          </w:rPr>
          <w:t xml:space="preserve">Dónde está la necesidad</w:t>
        </w:r>
      </w:hyperlink>
      <w:r>
        <w:t xml:space="preserve">5</w:t>
      </w:r>
    </w:p>
    <w:p>
      <w:pPr>
        <w:numPr>
          <w:ilvl w:val="0"/>
          <w:numId w:val="1003"/>
        </w:numPr>
        <w:pStyle w:val="Compact"/>
      </w:pPr>
      <w:hyperlink w:anchor="departamentos">
        <w:r>
          <w:rPr>
            <w:rStyle w:val="Hyperlink"/>
          </w:rPr>
          <w:t xml:space="preserve">Los departamentos</w:t>
        </w:r>
      </w:hyperlink>
      <w:r>
        <w:t xml:space="preserve">8</w:t>
      </w:r>
    </w:p>
    <w:p>
      <w:pPr>
        <w:numPr>
          <w:ilvl w:val="0"/>
          <w:numId w:val="1003"/>
        </w:numPr>
        <w:pStyle w:val="Compact"/>
      </w:pPr>
      <w:hyperlink w:anchor="dimensiones">
        <w:r>
          <w:rPr>
            <w:rStyle w:val="Hyperlink"/>
          </w:rPr>
          <w:t xml:space="preserve">La necesidad por dimensión</w:t>
        </w:r>
      </w:hyperlink>
      <w:r>
        <w:t xml:space="preserve">12</w:t>
      </w:r>
    </w:p>
    <w:p>
      <w:pPr>
        <w:numPr>
          <w:ilvl w:val="0"/>
          <w:numId w:val="1003"/>
        </w:numPr>
        <w:pStyle w:val="Compact"/>
      </w:pPr>
      <w:hyperlink w:anchor="anexo-a">
        <w:r>
          <w:rPr>
            <w:rStyle w:val="Hyperlink"/>
          </w:rPr>
          <w:t xml:space="preserve">Todos los departamentos</w:t>
        </w:r>
      </w:hyperlink>
      <w:r>
        <w:t xml:space="preserve">13</w:t>
      </w:r>
    </w:p>
    <w:p>
      <w:pPr>
        <w:numPr>
          <w:ilvl w:val="0"/>
          <w:numId w:val="1003"/>
        </w:numPr>
        <w:pStyle w:val="Compact"/>
      </w:pPr>
      <w:hyperlink w:anchor="anexo-b">
        <w:r>
          <w:rPr>
            <w:rStyle w:val="Hyperlink"/>
          </w:rPr>
          <w:t xml:space="preserve">Metodología del índice</w:t>
        </w:r>
      </w:hyperlink>
      <w:r>
        <w:t xml:space="preserve">15</w:t>
      </w:r>
    </w:p>
    <w:p>
      <w:pPr>
        <w:numPr>
          <w:ilvl w:val="0"/>
          <w:numId w:val="1003"/>
        </w:numPr>
        <w:pStyle w:val="Compact"/>
      </w:pPr>
      <w:hyperlink w:anchor="anexo-c">
        <w:r>
          <w:rPr>
            <w:rStyle w:val="Hyperlink"/>
          </w:rPr>
          <w:t xml:space="preserve">Diccionario de indicadores</w:t>
        </w:r>
      </w:hyperlink>
      <w:r>
        <w:t xml:space="preserve">18</w:t>
      </w:r>
    </w:p>
    <w:bookmarkEnd w:id="24"/>
    <w:bookmarkStart w:id="34" w:name="donde"/>
    <w:bookmarkStart w:id="33" w:name="dónde-está-la-necesidad"/>
    <w:p>
      <w:pPr>
        <w:pStyle w:val="Heading1"/>
      </w:pPr>
      <w:r>
        <w:t xml:space="preserve">Dónde está la necesidad</w:t>
      </w:r>
    </w:p>
    <w:p>
      <w:pPr>
        <w:pStyle w:val="FirstParagraph"/>
      </w:pPr>
      <w:r>
        <w:t xml:space="preserve">Figura 1. Índice de Necesidad en Salud Municipal, municipios de Colombia</w:t>
      </w:r>
    </w:p>
    <w:bookmarkStart w:id="28" w:name="Xe3b089aa7bba966803d47e5dc400902ea70be2d"/>
    <w:p>
      <w:pPr>
        <w:pStyle w:val="Heading3"/>
      </w:pPr>
      <w:r>
        <w:t xml:space="preserve">224 municipios forman el quinto de mayor necesidad; los departamentos con más de ellos son Chocó (30), Antioquia (21) y Bolívar (20)</w:t>
      </w:r>
    </w:p>
    <w:p>
      <w:pPr>
        <w:pStyle w:val="Figure"/>
      </w:pPr>
      <w:r>
        <w:drawing>
          <wp:inline>
            <wp:extent cx="6248400" cy="6882295"/>
            <wp:effectExtent b="0" l="0" r="0" t="0"/>
            <wp:docPr descr="Índice de Necesidad en Salud Municipal, municipios de Colombia" title="" id="26" name="Picture"/>
            <a:graphic>
              <a:graphicData uri="http://schemas.openxmlformats.org/drawingml/2006/picture">
                <pic:pic>
                  <pic:nvPicPr>
                    <pic:cNvPr descr="figuras/f_mapa_mun.png" id="27" name="Picture"/>
                    <pic:cNvPicPr>
                      <a:picLocks noChangeArrowheads="1" noChangeAspect="1"/>
                    </pic:cNvPicPr>
                  </pic:nvPicPr>
                  <pic:blipFill>
                    <a:blip r:embed="rId25"/>
                    <a:stretch>
                      <a:fillRect/>
                    </a:stretch>
                  </pic:blipFill>
                  <pic:spPr bwMode="auto">
                    <a:xfrm>
                      <a:off x="0" y="0"/>
                      <a:ext cx="6248400" cy="6882295"/>
                    </a:xfrm>
                    <a:prstGeom prst="rect">
                      <a:avLst/>
                    </a:prstGeom>
                    <a:noFill/>
                    <a:ln w="9525">
                      <a:noFill/>
                      <a:headEnd/>
                      <a:tailEnd/>
                    </a:ln>
                  </pic:spPr>
                </pic:pic>
              </a:graphicData>
            </a:graphic>
          </wp:inline>
        </w:drawing>
      </w:r>
    </w:p>
    <w:p>
      <w:pPr>
        <w:pStyle w:val="FirstParagraph"/>
      </w:pPr>
      <w:r>
        <w:t xml:space="preserve">San Andrés y Providencia no se muestra en el mapa; sus datos están en las tablas.</w:t>
      </w:r>
    </w:p>
    <w:p>
      <w:pPr>
        <w:pStyle w:val="BodyText"/>
      </w:pPr>
      <w:r>
        <w:t xml:space="preserve">Fuente: DANE, Marco Geoestadístico Nacional 2024. Índice de Necesidad en Salud Municipal (INSM), cálculo propio con las bases ASIS 2026 (Minsalud, DANE, SSPD, MEN, INS).</w:t>
      </w:r>
    </w:p>
    <w:bookmarkEnd w:id="28"/>
    <w:p>
      <w:pPr>
        <w:pStyle w:val="BodyText"/>
      </w:pPr>
      <w:r>
        <w:t xml:space="preserve">Figura 2. Índice departamental (promedio de sus municipios ponderado por población)</w:t>
      </w:r>
    </w:p>
    <w:bookmarkStart w:id="32" w:name="X17f367cc3a744b75f9f0a2fd2e3fe87ba4aa5ec"/>
    <w:p>
      <w:pPr>
        <w:pStyle w:val="Heading3"/>
      </w:pPr>
      <w:r>
        <w:t xml:space="preserve">Por departamento, el índice ponderado por población ordena el país de forma parecida</w:t>
      </w:r>
    </w:p>
    <w:p>
      <w:pPr>
        <w:pStyle w:val="Figure"/>
      </w:pPr>
      <w:r>
        <w:drawing>
          <wp:inline>
            <wp:extent cx="6248400" cy="6882295"/>
            <wp:effectExtent b="0" l="0" r="0" t="0"/>
            <wp:docPr descr="Índice departamental (promedio de sus municipios ponderado por población)" title="" id="30" name="Picture"/>
            <a:graphic>
              <a:graphicData uri="http://schemas.openxmlformats.org/drawingml/2006/picture">
                <pic:pic>
                  <pic:nvPicPr>
                    <pic:cNvPr descr="figuras/f_mapa_dep.png" id="31" name="Picture"/>
                    <pic:cNvPicPr>
                      <a:picLocks noChangeArrowheads="1" noChangeAspect="1"/>
                    </pic:cNvPicPr>
                  </pic:nvPicPr>
                  <pic:blipFill>
                    <a:blip r:embed="rId29"/>
                    <a:stretch>
                      <a:fillRect/>
                    </a:stretch>
                  </pic:blipFill>
                  <pic:spPr bwMode="auto">
                    <a:xfrm>
                      <a:off x="0" y="0"/>
                      <a:ext cx="6248400" cy="6882295"/>
                    </a:xfrm>
                    <a:prstGeom prst="rect">
                      <a:avLst/>
                    </a:prstGeom>
                    <a:noFill/>
                    <a:ln w="9525">
                      <a:noFill/>
                      <a:headEnd/>
                      <a:tailEnd/>
                    </a:ln>
                  </pic:spPr>
                </pic:pic>
              </a:graphicData>
            </a:graphic>
          </wp:inline>
        </w:drawing>
      </w:r>
    </w:p>
    <w:p>
      <w:pPr>
        <w:pStyle w:val="FirstParagraph"/>
      </w:pPr>
      <w:r>
        <w:t xml:space="preserve">Se rotulan los ocho departamentos con mayor necesidad.</w:t>
      </w:r>
    </w:p>
    <w:p>
      <w:pPr>
        <w:pStyle w:val="BodyText"/>
      </w:pPr>
      <w:r>
        <w:t xml:space="preserve">Fuente: DANE, Marco Geoestadístico Nacional 2024. Índice de Necesidad en Salud Municipal (INSM), cálculo propio con las bases ASIS 2026 (Minsalud, DANE, SSPD, MEN, INS).</w:t>
      </w:r>
    </w:p>
    <w:bookmarkEnd w:id="32"/>
    <w:bookmarkEnd w:id="33"/>
    <w:bookmarkEnd w:id="34"/>
    <w:bookmarkStart w:id="44" w:name="departamentos"/>
    <w:bookmarkStart w:id="43" w:name="los-departamentos"/>
    <w:p>
      <w:pPr>
        <w:pStyle w:val="Heading1"/>
      </w:pPr>
      <w:r>
        <w:t xml:space="preserve">Los departamentos</w:t>
      </w:r>
    </w:p>
    <w:p>
      <w:pPr>
        <w:pStyle w:val="FirstParagraph"/>
      </w:pPr>
      <w:r>
        <w:t xml:space="preserve">Figura 3. Índice de los municipios de cada departamento y promedio ponderado por población</w:t>
      </w:r>
    </w:p>
    <w:bookmarkStart w:id="38" w:name="X2d355476bcdbab8b94f9a57dffec64cc714c46e"/>
    <w:p>
      <w:pPr>
        <w:pStyle w:val="Heading3"/>
      </w:pPr>
      <w:r>
        <w:t xml:space="preserve">Dentro de cada departamento hay municipios en situaciones muy distintas</w:t>
      </w:r>
    </w:p>
    <w:p>
      <w:pPr>
        <w:pStyle w:val="Figure"/>
      </w:pPr>
      <w:r>
        <w:drawing>
          <wp:inline>
            <wp:extent cx="5780478" cy="7788482"/>
            <wp:effectExtent b="0" l="0" r="0" t="0"/>
            <wp:docPr descr="Índice de los municipios de cada departamento y promedio ponderado por población" title="" id="36" name="Picture"/>
            <a:graphic>
              <a:graphicData uri="http://schemas.openxmlformats.org/drawingml/2006/picture">
                <pic:pic>
                  <pic:nvPicPr>
                    <pic:cNvPr descr="figuras/f_dptos.png" id="37" name="Picture"/>
                    <pic:cNvPicPr>
                      <a:picLocks noChangeArrowheads="1" noChangeAspect="1"/>
                    </pic:cNvPicPr>
                  </pic:nvPicPr>
                  <pic:blipFill>
                    <a:blip r:embed="rId35"/>
                    <a:stretch>
                      <a:fillRect/>
                    </a:stretch>
                  </pic:blipFill>
                  <pic:spPr bwMode="auto">
                    <a:xfrm>
                      <a:off x="0" y="0"/>
                      <a:ext cx="5780478" cy="7788482"/>
                    </a:xfrm>
                    <a:prstGeom prst="rect">
                      <a:avLst/>
                    </a:prstGeom>
                    <a:noFill/>
                    <a:ln w="9525">
                      <a:noFill/>
                      <a:headEnd/>
                      <a:tailEnd/>
                    </a:ln>
                  </pic:spPr>
                </pic:pic>
              </a:graphicData>
            </a:graphic>
          </wp:inline>
        </w:drawing>
      </w:r>
    </w:p>
    <w:p>
      <w:pPr>
        <w:pStyle w:val="FirstParagraph"/>
      </w:pPr>
      <w:r>
        <w:t xml:space="preserve">La franja va del municipio con menos necesidad al de más; el punto azul es el promedio del departamento.</w:t>
      </w:r>
    </w:p>
    <w:p>
      <w:pPr>
        <w:pStyle w:val="BodyText"/>
      </w:pPr>
      <w:r>
        <w:t xml:space="preserve">Fuente: Índice de Necesidad en Salud Municipal (INSM), cálculo propio con las bases ASIS 2026 (Minsalud, DANE, SSPD, MEN, INS).</w:t>
      </w:r>
    </w:p>
    <w:bookmarkEnd w:id="38"/>
    <w:p>
      <w:pPr>
        <w:pStyle w:val="BodyText"/>
      </w:pPr>
      <w:r>
        <w:t xml:space="preserve">Figura 4. Índice y dimensiones de cada departamento (promedio del percentil nacional de sus municipios, ponderado por población)</w:t>
      </w:r>
    </w:p>
    <w:bookmarkStart w:id="42" w:name="Xcfead29ad21bc843695fd32fbf931269d3fc33c"/>
    <w:p>
      <w:pPr>
        <w:pStyle w:val="Heading3"/>
      </w:pPr>
      <w:r>
        <w:t xml:space="preserve">Cada departamento tiene su propio perfil de necesidad</w:t>
      </w:r>
    </w:p>
    <w:p>
      <w:pPr>
        <w:pStyle w:val="Figure"/>
      </w:pPr>
      <w:r>
        <w:drawing>
          <wp:inline>
            <wp:extent cx="5798858" cy="5794263"/>
            <wp:effectExtent b="0" l="0" r="0" t="0"/>
            <wp:docPr descr="Índice y dimensiones de cada departamento (promedio del percentil nacional de sus municipios, ponderado por población)" title="" id="40" name="Picture"/>
            <a:graphic>
              <a:graphicData uri="http://schemas.openxmlformats.org/drawingml/2006/picture">
                <pic:pic>
                  <pic:nvPicPr>
                    <pic:cNvPr descr="figuras/f_calor_dptos.png" id="41" name="Picture"/>
                    <pic:cNvPicPr>
                      <a:picLocks noChangeArrowheads="1" noChangeAspect="1"/>
                    </pic:cNvPicPr>
                  </pic:nvPicPr>
                  <pic:blipFill>
                    <a:blip r:embed="rId39"/>
                    <a:stretch>
                      <a:fillRect/>
                    </a:stretch>
                  </pic:blipFill>
                  <pic:spPr bwMode="auto">
                    <a:xfrm>
                      <a:off x="0" y="0"/>
                      <a:ext cx="5798858" cy="5794263"/>
                    </a:xfrm>
                    <a:prstGeom prst="rect">
                      <a:avLst/>
                    </a:prstGeom>
                    <a:noFill/>
                    <a:ln w="9525">
                      <a:noFill/>
                      <a:headEnd/>
                      <a:tailEnd/>
                    </a:ln>
                  </pic:spPr>
                </pic:pic>
              </a:graphicData>
            </a:graphic>
          </wp:inline>
        </w:drawing>
      </w:r>
    </w:p>
    <w:p>
      <w:pPr>
        <w:pStyle w:val="FirstParagraph"/>
      </w:pPr>
      <w:r>
        <w:t xml:space="preserve">Se escribe el valor del índice y de las dimensiones en el quinto de mayor necesidad (80 o más).</w:t>
      </w:r>
    </w:p>
    <w:p>
      <w:pPr>
        <w:pStyle w:val="BodyText"/>
      </w:pPr>
      <w:r>
        <w:t xml:space="preserve">Fuente: Índice de Necesidad en Salud Municipal (INSM), cálculo propio con las bases ASIS 2026 (Minsalud, DANE, SSPD, MEN, INS).</w:t>
      </w:r>
    </w:p>
    <w:bookmarkEnd w:id="42"/>
    <w:bookmarkEnd w:id="43"/>
    <w:bookmarkEnd w:id="44"/>
    <w:bookmarkStart w:id="50" w:name="dimensiones"/>
    <w:bookmarkStart w:id="49" w:name="la-necesidad-por-dimensión"/>
    <w:p>
      <w:pPr>
        <w:pStyle w:val="Heading1"/>
      </w:pPr>
      <w:r>
        <w:t xml:space="preserve">La necesidad por dimensión</w:t>
      </w:r>
    </w:p>
    <w:p>
      <w:pPr>
        <w:pStyle w:val="FirstParagraph"/>
      </w:pPr>
      <w:r>
        <w:t xml:space="preserve">Figura 5. Índice de cada dimensión por departamento (promedio del percentil nacional de sus municipios)</w:t>
      </w:r>
    </w:p>
    <w:bookmarkStart w:id="48" w:name="X5f30ea794eff361ff6171986e52a32ecbe1190c"/>
    <w:p>
      <w:pPr>
        <w:pStyle w:val="Heading3"/>
      </w:pPr>
      <w:r>
        <w:t xml:space="preserve">Cada dimensión dibuja una geografía distinta de la necesidad</w:t>
      </w:r>
    </w:p>
    <w:p>
      <w:pPr>
        <w:pStyle w:val="Figure"/>
      </w:pPr>
      <w:r>
        <w:drawing>
          <wp:inline>
            <wp:extent cx="5982657" cy="4705254"/>
            <wp:effectExtent b="0" l="0" r="0" t="0"/>
            <wp:docPr descr="Índice de cada dimensión por departamento (promedio del percentil nacional de sus municipios)" title="" id="46" name="Picture"/>
            <a:graphic>
              <a:graphicData uri="http://schemas.openxmlformats.org/drawingml/2006/picture">
                <pic:pic>
                  <pic:nvPicPr>
                    <pic:cNvPr descr="figuras/f_mapas_dim.png" id="47" name="Picture"/>
                    <pic:cNvPicPr>
                      <a:picLocks noChangeArrowheads="1" noChangeAspect="1"/>
                    </pic:cNvPicPr>
                  </pic:nvPicPr>
                  <pic:blipFill>
                    <a:blip r:embed="rId45"/>
                    <a:stretch>
                      <a:fillRect/>
                    </a:stretch>
                  </pic:blipFill>
                  <pic:spPr bwMode="auto">
                    <a:xfrm>
                      <a:off x="0" y="0"/>
                      <a:ext cx="5982657" cy="4705254"/>
                    </a:xfrm>
                    <a:prstGeom prst="rect">
                      <a:avLst/>
                    </a:prstGeom>
                    <a:noFill/>
                    <a:ln w="9525">
                      <a:noFill/>
                      <a:headEnd/>
                      <a:tailEnd/>
                    </a:ln>
                  </pic:spPr>
                </pic:pic>
              </a:graphicData>
            </a:graphic>
          </wp:inline>
        </w:drawing>
      </w:r>
    </w:p>
    <w:p>
      <w:pPr>
        <w:pStyle w:val="FirstParagraph"/>
      </w:pPr>
      <w:r>
        <w:t xml:space="preserve">Fuente: DANE, Marco Geoestadístico Nacional 2024. Índice de Necesidad en Salud Municipal (INSM), cálculo propio con las bases ASIS 2026 (Minsalud, DANE, SSPD, MEN, INS).</w:t>
      </w:r>
    </w:p>
    <w:bookmarkEnd w:id="48"/>
    <w:p>
      <w:pPr>
        <w:pStyle w:val="BodyText"/>
      </w:pPr>
      <w:r>
        <w:t xml:space="preserve">El índice de cada municipio, su puesto con el rango de robustez, sus siete dimensiones y sus 23 indicadores están en la</w:t>
      </w:r>
      <w:r>
        <w:t xml:space="preserve"> </w:t>
      </w:r>
      <w:r>
        <w:rPr>
          <w:bCs/>
          <w:b/>
        </w:rPr>
        <w:t xml:space="preserve">capa de detalle</w:t>
      </w:r>
      <w:r>
        <w:t xml:space="preserve">: el informe de cada departamento con todos sus municipios y el simulador de pesos. El ASIS de cada municipio es un plan aparte, por municipio. En esta edición pública se muestra cómo se distribuyen: 224 municipios están en el quinto de mayor necesidad del país.</w:t>
      </w:r>
    </w:p>
    <w:bookmarkEnd w:id="49"/>
    <w:bookmarkEnd w:id="50"/>
    <w:bookmarkStart w:id="52" w:name="anexo-a"/>
    <w:bookmarkStart w:id="51" w:name="todos-los-departamentos"/>
    <w:p>
      <w:pPr>
        <w:pStyle w:val="Heading1"/>
      </w:pPr>
      <w:r>
        <w:t xml:space="preserve">Todos los departamentos</w:t>
      </w:r>
    </w:p>
    <w:p>
      <w:pPr>
        <w:pStyle w:val="FirstParagraph"/>
      </w:pPr>
      <w:r>
        <w:t xml:space="preserve">Tabla A.1. Índice y dimensiones por departamento</w:t>
      </w:r>
    </w:p>
    <w:tbl>
      <w:tblPr>
        <w:tblStyle w:val="Table"/>
        <w:tblLook w:firstRow="1" w:lastRow="0" w:firstColumn="0" w:lastColumn="0" w:noHBand="0" w:noVBand="0" w:val="0020"/>
        <w:jc w:val="start"/>
        <w:tblBorders>
          <w:top w:val="single" w:sz="4" w:color="BFC5CE"/>
          <w:bottom w:val="single" w:sz="4" w:color="BFC5CE"/>
          <w:insideH w:val="single" w:sz="4" w:color="BFC5CE"/>
          <w:left w:val="nil"/>
          <w:right w:val="nil"/>
          <w:insideV w:val="nil"/>
        </w:tblBorders>
        <w:tblLayout w:type="fixed"/>
        <w:tblW w:w="5000" w:type="pct"/>
      </w:tblPr>
      <w:tblGrid>
        <w:gridCol w:w="3352"/>
        <w:gridCol w:w="464"/>
        <w:gridCol w:w="464"/>
        <w:gridCol w:w="464"/>
        <w:gridCol w:w="464"/>
        <w:gridCol w:w="464"/>
        <w:gridCol w:w="464"/>
        <w:gridCol w:w="464"/>
        <w:gridCol w:w="464"/>
        <w:gridCol w:w="464"/>
        <w:gridCol w:w="464"/>
        <w:gridCol w:w="464"/>
        <w:gridCol w:w="464"/>
        <w:gridCol w:w="464"/>
        <w:gridCol w:w="464"/>
      </w:tblGrid>
      <w:tr>
        <w:trPr>
          <w:tblHeader w:val="true"/>
        </w:trPr>
        <w:tc>
          <w:tcPr>
            <w:tcW w:type="dxa" w:w="3352"/>
            <w:shd w:val="clear" w:color="auto" w:fill="EDEFF2"/>
          </w:tcPr>
          <w:p>
            <w:pPr>
              <w:pStyle w:val="Compact"/>
              <w:spacing w:after="20"/>
              <w:jc w:val="left"/>
            </w:pPr>
            <w:r>
              <w:rPr>
                <w:b/>
                <w:sz w:val="18"/>
              </w:rPr>
              <w:t xml:space="preserve">Puesto</w:t>
            </w:r>
          </w:p>
        </w:tc>
        <w:tc>
          <w:tcPr>
            <w:tcW w:type="dxa" w:w="465"/>
            <w:shd w:val="clear" w:color="auto" w:fill="EDEFF2"/>
          </w:tcPr>
          <w:p>
            <w:pPr>
              <w:pStyle w:val="Compact"/>
              <w:spacing w:after="20"/>
              <w:jc w:val="left"/>
            </w:pPr>
            <w:r>
              <w:rPr>
                <w:b/>
                <w:sz w:val="18"/>
              </w:rPr>
              <w:t xml:space="preserve">Departamento</w:t>
            </w:r>
          </w:p>
        </w:tc>
        <w:tc>
          <w:tcPr>
            <w:tcW w:type="dxa" w:w="465"/>
            <w:shd w:val="clear" w:color="auto" w:fill="EDEFF2"/>
          </w:tcPr>
          <w:p>
            <w:pPr>
              <w:pStyle w:val="Compact"/>
              <w:spacing w:after="20"/>
              <w:jc w:val="left"/>
            </w:pPr>
            <w:r>
              <w:rPr>
                <w:b/>
                <w:sz w:val="18"/>
              </w:rPr>
              <w:t xml:space="preserve">Población</w:t>
            </w:r>
          </w:p>
        </w:tc>
        <w:tc>
          <w:tcPr>
            <w:tcW w:type="dxa" w:w="465"/>
            <w:shd w:val="clear" w:color="auto" w:fill="EDEFF2"/>
          </w:tcPr>
          <w:p>
            <w:pPr>
              <w:pStyle w:val="Compact"/>
              <w:spacing w:after="20"/>
              <w:jc w:val="left"/>
            </w:pPr>
            <w:r>
              <w:rPr>
                <w:b/>
                <w:sz w:val="18"/>
              </w:rPr>
              <w:t xml:space="preserve">Municipios</w:t>
            </w:r>
          </w:p>
        </w:tc>
        <w:tc>
          <w:tcPr>
            <w:tcW w:type="dxa" w:w="465"/>
            <w:shd w:val="clear" w:color="auto" w:fill="EDEFF2"/>
          </w:tcPr>
          <w:p>
            <w:pPr>
              <w:pStyle w:val="Compact"/>
              <w:spacing w:after="20"/>
              <w:jc w:val="left"/>
            </w:pPr>
            <w:r>
              <w:rPr>
                <w:b/>
                <w:sz w:val="18"/>
              </w:rPr>
              <w:t xml:space="preserve">Índice</w:t>
            </w:r>
          </w:p>
        </w:tc>
        <w:tc>
          <w:tcPr>
            <w:tcW w:type="dxa" w:w="465"/>
            <w:shd w:val="clear" w:color="auto" w:fill="EDEFF2"/>
          </w:tcPr>
          <w:p>
            <w:pPr>
              <w:pStyle w:val="Compact"/>
              <w:spacing w:after="20"/>
              <w:jc w:val="left"/>
            </w:pPr>
            <w:r>
              <w:rPr>
                <w:b/>
                <w:sz w:val="18"/>
              </w:rPr>
              <w:t xml:space="preserve">Municipios en el quinto de mayor necesidad</w:t>
            </w:r>
          </w:p>
        </w:tc>
        <w:tc>
          <w:tcPr>
            <w:tcW w:type="dxa" w:w="465"/>
            <w:shd w:val="clear" w:color="auto" w:fill="EDEFF2"/>
          </w:tcPr>
          <w:p>
            <w:pPr>
              <w:pStyle w:val="Compact"/>
              <w:spacing w:after="20"/>
              <w:jc w:val="left"/>
            </w:pPr>
            <w:r>
              <w:rPr>
                <w:b/>
                <w:sz w:val="18"/>
              </w:rPr>
              <w:t xml:space="preserve">% población en ese quinto</w:t>
            </w:r>
          </w:p>
        </w:tc>
        <w:tc>
          <w:tcPr>
            <w:tcW w:type="dxa" w:w="465"/>
            <w:shd w:val="clear" w:color="auto" w:fill="EDEFF2"/>
          </w:tcPr>
          <w:p>
            <w:pPr>
              <w:pStyle w:val="Compact"/>
              <w:spacing w:after="20"/>
              <w:jc w:val="left"/>
            </w:pPr>
            <w:r>
              <w:rPr>
                <w:b/>
                <w:sz w:val="18"/>
              </w:rPr>
              <w:t xml:space="preserve">Rango interno</w:t>
            </w:r>
          </w:p>
        </w:tc>
        <w:tc>
          <w:tcPr>
            <w:tcW w:type="dxa" w:w="465"/>
            <w:shd w:val="clear" w:color="auto" w:fill="EDEFF2"/>
          </w:tcPr>
          <w:p>
            <w:pPr>
              <w:pStyle w:val="Compact"/>
              <w:spacing w:after="20"/>
              <w:jc w:val="left"/>
            </w:pPr>
            <w:r>
              <w:rPr>
                <w:b/>
                <w:sz w:val="18"/>
              </w:rPr>
              <w:t xml:space="preserve">Mortalidad</w:t>
            </w:r>
          </w:p>
        </w:tc>
        <w:tc>
          <w:tcPr>
            <w:tcW w:type="dxa" w:w="465"/>
            <w:shd w:val="clear" w:color="auto" w:fill="EDEFF2"/>
          </w:tcPr>
          <w:p>
            <w:pPr>
              <w:pStyle w:val="Compact"/>
              <w:spacing w:after="20"/>
              <w:jc w:val="left"/>
            </w:pPr>
            <w:r>
              <w:rPr>
                <w:b/>
                <w:sz w:val="18"/>
              </w:rPr>
              <w:t xml:space="preserve">Materno-infantil</w:t>
            </w:r>
          </w:p>
        </w:tc>
        <w:tc>
          <w:tcPr>
            <w:tcW w:type="dxa" w:w="465"/>
            <w:shd w:val="clear" w:color="auto" w:fill="EDEFF2"/>
          </w:tcPr>
          <w:p>
            <w:pPr>
              <w:pStyle w:val="Compact"/>
              <w:spacing w:after="20"/>
              <w:jc w:val="left"/>
            </w:pPr>
            <w:r>
              <w:rPr>
                <w:b/>
                <w:sz w:val="18"/>
              </w:rPr>
              <w:t xml:space="preserve">Pobreza</w:t>
            </w:r>
          </w:p>
        </w:tc>
        <w:tc>
          <w:tcPr>
            <w:tcW w:type="dxa" w:w="465"/>
            <w:shd w:val="clear" w:color="auto" w:fill="EDEFF2"/>
          </w:tcPr>
          <w:p>
            <w:pPr>
              <w:pStyle w:val="Compact"/>
              <w:spacing w:after="20"/>
              <w:jc w:val="left"/>
            </w:pPr>
            <w:r>
              <w:rPr>
                <w:b/>
                <w:sz w:val="18"/>
              </w:rPr>
              <w:t xml:space="preserve">Agua y vivienda</w:t>
            </w:r>
          </w:p>
        </w:tc>
        <w:tc>
          <w:tcPr>
            <w:tcW w:type="dxa" w:w="465"/>
            <w:shd w:val="clear" w:color="auto" w:fill="EDEFF2"/>
          </w:tcPr>
          <w:p>
            <w:pPr>
              <w:pStyle w:val="Compact"/>
              <w:spacing w:after="20"/>
              <w:jc w:val="left"/>
            </w:pPr>
            <w:r>
              <w:rPr>
                <w:b/>
                <w:sz w:val="18"/>
              </w:rPr>
              <w:t xml:space="preserve">Educación</w:t>
            </w:r>
          </w:p>
        </w:tc>
        <w:tc>
          <w:tcPr>
            <w:tcW w:type="dxa" w:w="465"/>
            <w:shd w:val="clear" w:color="auto" w:fill="EDEFF2"/>
          </w:tcPr>
          <w:p>
            <w:pPr>
              <w:pStyle w:val="Compact"/>
              <w:spacing w:after="20"/>
              <w:jc w:val="left"/>
            </w:pPr>
            <w:r>
              <w:rPr>
                <w:b/>
                <w:sz w:val="18"/>
              </w:rPr>
              <w:t xml:space="preserve">Acceso</w:t>
            </w:r>
          </w:p>
        </w:tc>
        <w:tc>
          <w:tcPr>
            <w:tcW w:type="dxa" w:w="465"/>
            <w:shd w:val="clear" w:color="auto" w:fill="EDEFF2"/>
          </w:tcPr>
          <w:p>
            <w:pPr>
              <w:pStyle w:val="Compact"/>
              <w:spacing w:after="20"/>
              <w:jc w:val="left"/>
            </w:pPr>
            <w:r>
              <w:rPr>
                <w:b/>
                <w:sz w:val="18"/>
              </w:rPr>
              <w:t xml:space="preserve">Demografía</w:t>
            </w:r>
          </w:p>
        </w:tc>
      </w:tr>
      <w:tr>
        <w:tc>
          <w:tcPr>
            <w:tcW w:type="dxa" w:w="3352"/>
          </w:tcPr>
          <w:p>
            <w:pPr>
              <w:pStyle w:val="Compact"/>
              <w:spacing w:after="20"/>
              <w:jc w:val="left"/>
            </w:pPr>
            <w:r>
              <w:rPr>
                <w:sz w:val="18"/>
              </w:rPr>
              <w:t xml:space="preserve">1</w:t>
            </w:r>
          </w:p>
        </w:tc>
        <w:tc>
          <w:tcPr>
            <w:tcW w:type="dxa" w:w="465"/>
          </w:tcPr>
          <w:p>
            <w:pPr>
              <w:pStyle w:val="Compact"/>
              <w:spacing w:after="20"/>
              <w:jc w:val="left"/>
            </w:pPr>
            <w:r>
              <w:rPr>
                <w:bCs/>
                <w:b/>
                <w:sz w:val="18"/>
              </w:rPr>
              <w:t xml:space="preserve">Vaupés</w:t>
            </w:r>
          </w:p>
        </w:tc>
        <w:tc>
          <w:tcPr>
            <w:tcW w:type="dxa" w:w="465"/>
          </w:tcPr>
          <w:p>
            <w:pPr>
              <w:pStyle w:val="Compact"/>
              <w:spacing w:after="20"/>
              <w:jc w:val="left"/>
            </w:pPr>
            <w:r>
              <w:rPr>
                <w:sz w:val="18"/>
              </w:rPr>
              <w:t xml:space="preserve">44.490</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98</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100,0 %</w:t>
            </w:r>
          </w:p>
        </w:tc>
        <w:tc>
          <w:tcPr>
            <w:tcW w:type="dxa" w:w="465"/>
          </w:tcPr>
          <w:p>
            <w:pPr>
              <w:pStyle w:val="Compact"/>
              <w:spacing w:after="20"/>
              <w:jc w:val="left"/>
            </w:pPr>
            <w:r>
              <w:rPr>
                <w:sz w:val="18"/>
              </w:rPr>
              <w:t xml:space="preserve">3</w:t>
            </w:r>
          </w:p>
        </w:tc>
        <w:tc>
          <w:tcPr>
            <w:tcW w:type="dxa" w:w="465"/>
          </w:tcPr>
          <w:p>
            <w:pPr>
              <w:pStyle w:val="Compact"/>
              <w:spacing w:after="20"/>
              <w:jc w:val="left"/>
            </w:pPr>
            <w:r>
              <w:rPr>
                <w:sz w:val="18"/>
              </w:rPr>
              <w:t xml:space="preserve">75</w:t>
            </w:r>
          </w:p>
        </w:tc>
        <w:tc>
          <w:tcPr>
            <w:tcW w:type="dxa" w:w="465"/>
          </w:tcPr>
          <w:p>
            <w:pPr>
              <w:pStyle w:val="Compact"/>
              <w:spacing w:after="20"/>
              <w:jc w:val="left"/>
            </w:pPr>
            <w:r>
              <w:rPr>
                <w:sz w:val="18"/>
              </w:rPr>
              <w:t xml:space="preserve">84</w:t>
            </w:r>
          </w:p>
        </w:tc>
        <w:tc>
          <w:tcPr>
            <w:tcW w:type="dxa" w:w="465"/>
          </w:tcPr>
          <w:p>
            <w:pPr>
              <w:pStyle w:val="Compact"/>
              <w:spacing w:after="20"/>
              <w:jc w:val="left"/>
            </w:pPr>
            <w:r>
              <w:rPr>
                <w:sz w:val="18"/>
              </w:rPr>
              <w:t xml:space="preserve">97</w:t>
            </w:r>
          </w:p>
        </w:tc>
        <w:tc>
          <w:tcPr>
            <w:tcW w:type="dxa" w:w="465"/>
          </w:tcPr>
          <w:p>
            <w:pPr>
              <w:pStyle w:val="Compact"/>
              <w:spacing w:after="20"/>
              <w:jc w:val="left"/>
            </w:pPr>
            <w:r>
              <w:rPr>
                <w:sz w:val="18"/>
              </w:rPr>
              <w:t xml:space="preserve">96</w:t>
            </w:r>
          </w:p>
        </w:tc>
        <w:tc>
          <w:tcPr>
            <w:tcW w:type="dxa" w:w="465"/>
          </w:tcPr>
          <w:p>
            <w:pPr>
              <w:pStyle w:val="Compact"/>
              <w:spacing w:after="20"/>
              <w:jc w:val="left"/>
            </w:pPr>
            <w:r>
              <w:rPr>
                <w:sz w:val="18"/>
              </w:rPr>
              <w:t xml:space="preserve">97</w:t>
            </w:r>
          </w:p>
        </w:tc>
        <w:tc>
          <w:tcPr>
            <w:tcW w:type="dxa" w:w="465"/>
          </w:tcPr>
          <w:p>
            <w:pPr>
              <w:pStyle w:val="Compact"/>
              <w:spacing w:after="20"/>
              <w:jc w:val="left"/>
            </w:pPr>
            <w:r>
              <w:rPr>
                <w:sz w:val="18"/>
              </w:rPr>
              <w:t xml:space="preserve">99</w:t>
            </w:r>
          </w:p>
        </w:tc>
        <w:tc>
          <w:tcPr>
            <w:tcW w:type="dxa" w:w="465"/>
          </w:tcPr>
          <w:p>
            <w:pPr>
              <w:pStyle w:val="Compact"/>
              <w:spacing w:after="20"/>
              <w:jc w:val="left"/>
            </w:pPr>
            <w:r>
              <w:rPr>
                <w:sz w:val="18"/>
              </w:rPr>
              <w:t xml:space="preserve">99</w:t>
            </w:r>
          </w:p>
        </w:tc>
      </w:tr>
      <w:tr>
        <w:tc>
          <w:tcPr>
            <w:tcW w:type="dxa" w:w="3352"/>
          </w:tcPr>
          <w:p>
            <w:pPr>
              <w:pStyle w:val="Compact"/>
              <w:spacing w:after="20"/>
              <w:jc w:val="left"/>
            </w:pPr>
            <w:r>
              <w:rPr>
                <w:sz w:val="18"/>
              </w:rPr>
              <w:t xml:space="preserve">2</w:t>
            </w:r>
          </w:p>
        </w:tc>
        <w:tc>
          <w:tcPr>
            <w:tcW w:type="dxa" w:w="465"/>
          </w:tcPr>
          <w:p>
            <w:pPr>
              <w:pStyle w:val="Compact"/>
              <w:spacing w:after="20"/>
              <w:jc w:val="left"/>
            </w:pPr>
            <w:r>
              <w:rPr>
                <w:bCs/>
                <w:b/>
                <w:sz w:val="18"/>
              </w:rPr>
              <w:t xml:space="preserve">Vichada</w:t>
            </w:r>
          </w:p>
        </w:tc>
        <w:tc>
          <w:tcPr>
            <w:tcW w:type="dxa" w:w="465"/>
          </w:tcPr>
          <w:p>
            <w:pPr>
              <w:pStyle w:val="Compact"/>
              <w:spacing w:after="20"/>
              <w:jc w:val="left"/>
            </w:pPr>
            <w:r>
              <w:rPr>
                <w:sz w:val="18"/>
              </w:rPr>
              <w:t xml:space="preserve">154.190</w:t>
            </w:r>
          </w:p>
        </w:tc>
        <w:tc>
          <w:tcPr>
            <w:tcW w:type="dxa" w:w="465"/>
          </w:tcPr>
          <w:p>
            <w:pPr>
              <w:pStyle w:val="Compact"/>
              <w:spacing w:after="20"/>
              <w:jc w:val="left"/>
            </w:pPr>
            <w:r>
              <w:rPr>
                <w:sz w:val="18"/>
              </w:rPr>
              <w:t xml:space="preserve">4</w:t>
            </w:r>
          </w:p>
        </w:tc>
        <w:tc>
          <w:tcPr>
            <w:tcW w:type="dxa" w:w="465"/>
          </w:tcPr>
          <w:p>
            <w:pPr>
              <w:pStyle w:val="Compact"/>
              <w:spacing w:after="20"/>
              <w:jc w:val="left"/>
            </w:pPr>
            <w:r>
              <w:rPr>
                <w:sz w:val="18"/>
              </w:rPr>
              <w:t xml:space="preserve">98</w:t>
            </w:r>
          </w:p>
        </w:tc>
        <w:tc>
          <w:tcPr>
            <w:tcW w:type="dxa" w:w="465"/>
          </w:tcPr>
          <w:p>
            <w:pPr>
              <w:pStyle w:val="Compact"/>
              <w:spacing w:after="20"/>
              <w:jc w:val="left"/>
            </w:pPr>
            <w:r>
              <w:rPr>
                <w:sz w:val="18"/>
              </w:rPr>
              <w:t xml:space="preserve">4</w:t>
            </w:r>
          </w:p>
        </w:tc>
        <w:tc>
          <w:tcPr>
            <w:tcW w:type="dxa" w:w="465"/>
          </w:tcPr>
          <w:p>
            <w:pPr>
              <w:pStyle w:val="Compact"/>
              <w:spacing w:after="20"/>
              <w:jc w:val="left"/>
            </w:pPr>
            <w:r>
              <w:rPr>
                <w:sz w:val="18"/>
              </w:rPr>
              <w:t xml:space="preserve">100,0 %</w:t>
            </w:r>
          </w:p>
        </w:tc>
        <w:tc>
          <w:tcPr>
            <w:tcW w:type="dxa" w:w="465"/>
          </w:tcPr>
          <w:p>
            <w:pPr>
              <w:pStyle w:val="Compact"/>
              <w:spacing w:after="20"/>
              <w:jc w:val="left"/>
            </w:pPr>
            <w:r>
              <w:rPr>
                <w:sz w:val="18"/>
              </w:rPr>
              <w:t xml:space="preserve">8</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93</w:t>
            </w:r>
          </w:p>
        </w:tc>
        <w:tc>
          <w:tcPr>
            <w:tcW w:type="dxa" w:w="465"/>
          </w:tcPr>
          <w:p>
            <w:pPr>
              <w:pStyle w:val="Compact"/>
              <w:spacing w:after="20"/>
              <w:jc w:val="left"/>
            </w:pPr>
            <w:r>
              <w:rPr>
                <w:sz w:val="18"/>
              </w:rPr>
              <w:t xml:space="preserve">98</w:t>
            </w:r>
          </w:p>
        </w:tc>
        <w:tc>
          <w:tcPr>
            <w:tcW w:type="dxa" w:w="465"/>
          </w:tcPr>
          <w:p>
            <w:pPr>
              <w:pStyle w:val="Compact"/>
              <w:spacing w:after="20"/>
              <w:jc w:val="left"/>
            </w:pPr>
            <w:r>
              <w:rPr>
                <w:sz w:val="18"/>
              </w:rPr>
              <w:t xml:space="preserve">97</w:t>
            </w:r>
          </w:p>
        </w:tc>
        <w:tc>
          <w:tcPr>
            <w:tcW w:type="dxa" w:w="465"/>
          </w:tcPr>
          <w:p>
            <w:pPr>
              <w:pStyle w:val="Compact"/>
              <w:spacing w:after="20"/>
              <w:jc w:val="left"/>
            </w:pPr>
            <w:r>
              <w:rPr>
                <w:sz w:val="18"/>
              </w:rPr>
              <w:t xml:space="preserve">87</w:t>
            </w:r>
          </w:p>
        </w:tc>
        <w:tc>
          <w:tcPr>
            <w:tcW w:type="dxa" w:w="465"/>
          </w:tcPr>
          <w:p>
            <w:pPr>
              <w:pStyle w:val="Compact"/>
              <w:spacing w:after="20"/>
              <w:jc w:val="left"/>
            </w:pPr>
            <w:r>
              <w:rPr>
                <w:sz w:val="18"/>
              </w:rPr>
              <w:t xml:space="preserve">99</w:t>
            </w:r>
          </w:p>
        </w:tc>
        <w:tc>
          <w:tcPr>
            <w:tcW w:type="dxa" w:w="465"/>
          </w:tcPr>
          <w:p>
            <w:pPr>
              <w:pStyle w:val="Compact"/>
              <w:spacing w:after="20"/>
              <w:jc w:val="left"/>
            </w:pPr>
            <w:r>
              <w:rPr>
                <w:sz w:val="18"/>
              </w:rPr>
              <w:t xml:space="preserve">74</w:t>
            </w:r>
          </w:p>
        </w:tc>
      </w:tr>
      <w:tr>
        <w:tc>
          <w:tcPr>
            <w:tcW w:type="dxa" w:w="3352"/>
          </w:tcPr>
          <w:p>
            <w:pPr>
              <w:pStyle w:val="Compact"/>
              <w:spacing w:after="20"/>
              <w:jc w:val="left"/>
            </w:pPr>
            <w:r>
              <w:rPr>
                <w:sz w:val="18"/>
              </w:rPr>
              <w:t xml:space="preserve">3</w:t>
            </w:r>
          </w:p>
        </w:tc>
        <w:tc>
          <w:tcPr>
            <w:tcW w:type="dxa" w:w="465"/>
          </w:tcPr>
          <w:p>
            <w:pPr>
              <w:pStyle w:val="Compact"/>
              <w:spacing w:after="20"/>
              <w:jc w:val="left"/>
            </w:pPr>
            <w:r>
              <w:rPr>
                <w:bCs/>
                <w:b/>
                <w:sz w:val="18"/>
              </w:rPr>
              <w:t xml:space="preserve">Guainía</w:t>
            </w:r>
          </w:p>
        </w:tc>
        <w:tc>
          <w:tcPr>
            <w:tcW w:type="dxa" w:w="465"/>
          </w:tcPr>
          <w:p>
            <w:pPr>
              <w:pStyle w:val="Compact"/>
              <w:spacing w:after="20"/>
              <w:jc w:val="left"/>
            </w:pPr>
            <w:r>
              <w:rPr>
                <w:sz w:val="18"/>
              </w:rPr>
              <w:t xml:space="preserve">61.065</w:t>
            </w:r>
          </w:p>
        </w:tc>
        <w:tc>
          <w:tcPr>
            <w:tcW w:type="dxa" w:w="465"/>
          </w:tcPr>
          <w:p>
            <w:pPr>
              <w:pStyle w:val="Compact"/>
              <w:spacing w:after="20"/>
              <w:jc w:val="left"/>
            </w:pPr>
            <w:r>
              <w:rPr>
                <w:sz w:val="18"/>
              </w:rPr>
              <w:t xml:space="preserve">8</w:t>
            </w:r>
          </w:p>
        </w:tc>
        <w:tc>
          <w:tcPr>
            <w:tcW w:type="dxa" w:w="465"/>
          </w:tcPr>
          <w:p>
            <w:pPr>
              <w:pStyle w:val="Compact"/>
              <w:spacing w:after="20"/>
              <w:jc w:val="left"/>
            </w:pPr>
            <w:r>
              <w:rPr>
                <w:sz w:val="18"/>
              </w:rPr>
              <w:t xml:space="preserve">97</w:t>
            </w:r>
          </w:p>
        </w:tc>
        <w:tc>
          <w:tcPr>
            <w:tcW w:type="dxa" w:w="465"/>
          </w:tcPr>
          <w:p>
            <w:pPr>
              <w:pStyle w:val="Compact"/>
              <w:spacing w:after="20"/>
              <w:jc w:val="left"/>
            </w:pPr>
            <w:r>
              <w:rPr>
                <w:sz w:val="18"/>
              </w:rPr>
              <w:t xml:space="preserve">8</w:t>
            </w:r>
          </w:p>
        </w:tc>
        <w:tc>
          <w:tcPr>
            <w:tcW w:type="dxa" w:w="465"/>
          </w:tcPr>
          <w:p>
            <w:pPr>
              <w:pStyle w:val="Compact"/>
              <w:spacing w:after="20"/>
              <w:jc w:val="left"/>
            </w:pPr>
            <w:r>
              <w:rPr>
                <w:sz w:val="18"/>
              </w:rPr>
              <w:t xml:space="preserve">100,0 %</w:t>
            </w:r>
          </w:p>
        </w:tc>
        <w:tc>
          <w:tcPr>
            <w:tcW w:type="dxa" w:w="465"/>
          </w:tcPr>
          <w:p>
            <w:pPr>
              <w:pStyle w:val="Compact"/>
              <w:spacing w:after="20"/>
              <w:jc w:val="left"/>
            </w:pPr>
            <w:r>
              <w:rPr>
                <w:sz w:val="18"/>
              </w:rPr>
              <w:t xml:space="preserve">4</w:t>
            </w:r>
          </w:p>
        </w:tc>
        <w:tc>
          <w:tcPr>
            <w:tcW w:type="dxa" w:w="465"/>
          </w:tcPr>
          <w:p>
            <w:pPr>
              <w:pStyle w:val="Compact"/>
              <w:spacing w:after="20"/>
              <w:jc w:val="left"/>
            </w:pPr>
            <w:r>
              <w:rPr>
                <w:sz w:val="18"/>
              </w:rPr>
              <w:t xml:space="preserve">73</w:t>
            </w:r>
          </w:p>
        </w:tc>
        <w:tc>
          <w:tcPr>
            <w:tcW w:type="dxa" w:w="465"/>
          </w:tcPr>
          <w:p>
            <w:pPr>
              <w:pStyle w:val="Compact"/>
              <w:spacing w:after="20"/>
              <w:jc w:val="left"/>
            </w:pPr>
            <w:r>
              <w:rPr>
                <w:sz w:val="18"/>
              </w:rPr>
              <w:t xml:space="preserve">92</w:t>
            </w:r>
          </w:p>
        </w:tc>
        <w:tc>
          <w:tcPr>
            <w:tcW w:type="dxa" w:w="465"/>
          </w:tcPr>
          <w:p>
            <w:pPr>
              <w:pStyle w:val="Compact"/>
              <w:spacing w:after="20"/>
              <w:jc w:val="left"/>
            </w:pPr>
            <w:r>
              <w:rPr>
                <w:sz w:val="18"/>
              </w:rPr>
              <w:t xml:space="preserve">96</w:t>
            </w:r>
          </w:p>
        </w:tc>
        <w:tc>
          <w:tcPr>
            <w:tcW w:type="dxa" w:w="465"/>
          </w:tcPr>
          <w:p>
            <w:pPr>
              <w:pStyle w:val="Compact"/>
              <w:spacing w:after="20"/>
              <w:jc w:val="left"/>
            </w:pPr>
            <w:r>
              <w:rPr>
                <w:sz w:val="18"/>
              </w:rPr>
              <w:t xml:space="preserve">95</w:t>
            </w:r>
          </w:p>
        </w:tc>
        <w:tc>
          <w:tcPr>
            <w:tcW w:type="dxa" w:w="465"/>
          </w:tcPr>
          <w:p>
            <w:pPr>
              <w:pStyle w:val="Compact"/>
              <w:spacing w:after="20"/>
              <w:jc w:val="left"/>
            </w:pPr>
            <w:r>
              <w:rPr>
                <w:sz w:val="18"/>
              </w:rPr>
              <w:t xml:space="preserve">95</w:t>
            </w:r>
          </w:p>
        </w:tc>
        <w:tc>
          <w:tcPr>
            <w:tcW w:type="dxa" w:w="465"/>
          </w:tcPr>
          <w:p>
            <w:pPr>
              <w:pStyle w:val="Compact"/>
              <w:spacing w:after="20"/>
              <w:jc w:val="left"/>
            </w:pPr>
            <w:r>
              <w:rPr>
                <w:sz w:val="18"/>
              </w:rPr>
              <w:t xml:space="preserve">97</w:t>
            </w:r>
          </w:p>
        </w:tc>
        <w:tc>
          <w:tcPr>
            <w:tcW w:type="dxa" w:w="465"/>
          </w:tcPr>
          <w:p>
            <w:pPr>
              <w:pStyle w:val="Compact"/>
              <w:spacing w:after="20"/>
              <w:jc w:val="left"/>
            </w:pPr>
            <w:r>
              <w:rPr>
                <w:sz w:val="18"/>
              </w:rPr>
              <w:t xml:space="preserve">77</w:t>
            </w:r>
          </w:p>
        </w:tc>
      </w:tr>
      <w:tr>
        <w:tc>
          <w:tcPr>
            <w:tcW w:type="dxa" w:w="3352"/>
          </w:tcPr>
          <w:p>
            <w:pPr>
              <w:pStyle w:val="Compact"/>
              <w:spacing w:after="20"/>
              <w:jc w:val="left"/>
            </w:pPr>
            <w:r>
              <w:rPr>
                <w:sz w:val="18"/>
              </w:rPr>
              <w:t xml:space="preserve">4</w:t>
            </w:r>
          </w:p>
        </w:tc>
        <w:tc>
          <w:tcPr>
            <w:tcW w:type="dxa" w:w="465"/>
          </w:tcPr>
          <w:p>
            <w:pPr>
              <w:pStyle w:val="Compact"/>
              <w:spacing w:after="20"/>
              <w:jc w:val="left"/>
            </w:pPr>
            <w:r>
              <w:rPr>
                <w:bCs/>
                <w:b/>
                <w:sz w:val="18"/>
              </w:rPr>
              <w:t xml:space="preserve">Chocó</w:t>
            </w:r>
          </w:p>
        </w:tc>
        <w:tc>
          <w:tcPr>
            <w:tcW w:type="dxa" w:w="465"/>
          </w:tcPr>
          <w:p>
            <w:pPr>
              <w:pStyle w:val="Compact"/>
              <w:spacing w:after="20"/>
              <w:jc w:val="left"/>
            </w:pPr>
            <w:r>
              <w:rPr>
                <w:sz w:val="18"/>
              </w:rPr>
              <w:t xml:space="preserve">599.468</w:t>
            </w:r>
          </w:p>
        </w:tc>
        <w:tc>
          <w:tcPr>
            <w:tcW w:type="dxa" w:w="465"/>
          </w:tcPr>
          <w:p>
            <w:pPr>
              <w:pStyle w:val="Compact"/>
              <w:spacing w:after="20"/>
              <w:jc w:val="left"/>
            </w:pPr>
            <w:r>
              <w:rPr>
                <w:sz w:val="18"/>
              </w:rPr>
              <w:t xml:space="preserve">31</w:t>
            </w:r>
          </w:p>
        </w:tc>
        <w:tc>
          <w:tcPr>
            <w:tcW w:type="dxa" w:w="465"/>
          </w:tcPr>
          <w:p>
            <w:pPr>
              <w:pStyle w:val="Compact"/>
              <w:spacing w:after="20"/>
              <w:jc w:val="left"/>
            </w:pPr>
            <w:r>
              <w:rPr>
                <w:sz w:val="18"/>
              </w:rPr>
              <w:t xml:space="preserve">95</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94,9 %</w:t>
            </w:r>
          </w:p>
        </w:tc>
        <w:tc>
          <w:tcPr>
            <w:tcW w:type="dxa" w:w="465"/>
          </w:tcPr>
          <w:p>
            <w:pPr>
              <w:pStyle w:val="Compact"/>
              <w:spacing w:after="20"/>
              <w:jc w:val="left"/>
            </w:pPr>
            <w:r>
              <w:rPr>
                <w:sz w:val="18"/>
              </w:rPr>
              <w:t xml:space="preserve">13</w:t>
            </w:r>
          </w:p>
        </w:tc>
        <w:tc>
          <w:tcPr>
            <w:tcW w:type="dxa" w:w="465"/>
          </w:tcPr>
          <w:p>
            <w:pPr>
              <w:pStyle w:val="Compact"/>
              <w:spacing w:after="20"/>
              <w:jc w:val="left"/>
            </w:pPr>
            <w:r>
              <w:rPr>
                <w:sz w:val="18"/>
              </w:rPr>
              <w:t xml:space="preserve">56</w:t>
            </w:r>
          </w:p>
        </w:tc>
        <w:tc>
          <w:tcPr>
            <w:tcW w:type="dxa" w:w="465"/>
          </w:tcPr>
          <w:p>
            <w:pPr>
              <w:pStyle w:val="Compact"/>
              <w:spacing w:after="20"/>
              <w:jc w:val="left"/>
            </w:pPr>
            <w:r>
              <w:rPr>
                <w:sz w:val="18"/>
              </w:rPr>
              <w:t xml:space="preserve">96</w:t>
            </w:r>
          </w:p>
        </w:tc>
        <w:tc>
          <w:tcPr>
            <w:tcW w:type="dxa" w:w="465"/>
          </w:tcPr>
          <w:p>
            <w:pPr>
              <w:pStyle w:val="Compact"/>
              <w:spacing w:after="20"/>
              <w:jc w:val="left"/>
            </w:pPr>
            <w:r>
              <w:rPr>
                <w:sz w:val="18"/>
              </w:rPr>
              <w:t xml:space="preserve">80</w:t>
            </w:r>
          </w:p>
        </w:tc>
        <w:tc>
          <w:tcPr>
            <w:tcW w:type="dxa" w:w="465"/>
          </w:tcPr>
          <w:p>
            <w:pPr>
              <w:pStyle w:val="Compact"/>
              <w:spacing w:after="20"/>
              <w:jc w:val="left"/>
            </w:pPr>
            <w:r>
              <w:rPr>
                <w:sz w:val="18"/>
              </w:rPr>
              <w:t xml:space="preserve">94</w:t>
            </w:r>
          </w:p>
        </w:tc>
        <w:tc>
          <w:tcPr>
            <w:tcW w:type="dxa" w:w="465"/>
          </w:tcPr>
          <w:p>
            <w:pPr>
              <w:pStyle w:val="Compact"/>
              <w:spacing w:after="20"/>
              <w:jc w:val="left"/>
            </w:pPr>
            <w:r>
              <w:rPr>
                <w:sz w:val="18"/>
              </w:rPr>
              <w:t xml:space="preserve">56</w:t>
            </w:r>
          </w:p>
        </w:tc>
        <w:tc>
          <w:tcPr>
            <w:tcW w:type="dxa" w:w="465"/>
          </w:tcPr>
          <w:p>
            <w:pPr>
              <w:pStyle w:val="Compact"/>
              <w:spacing w:after="20"/>
              <w:jc w:val="left"/>
            </w:pPr>
            <w:r>
              <w:rPr>
                <w:sz w:val="18"/>
              </w:rPr>
              <w:t xml:space="preserve">90</w:t>
            </w:r>
          </w:p>
        </w:tc>
        <w:tc>
          <w:tcPr>
            <w:tcW w:type="dxa" w:w="465"/>
          </w:tcPr>
          <w:p>
            <w:pPr>
              <w:pStyle w:val="Compact"/>
              <w:spacing w:after="20"/>
              <w:jc w:val="left"/>
            </w:pPr>
            <w:r>
              <w:rPr>
                <w:sz w:val="18"/>
              </w:rPr>
              <w:t xml:space="preserve">64</w:t>
            </w:r>
          </w:p>
        </w:tc>
      </w:tr>
      <w:tr>
        <w:tc>
          <w:tcPr>
            <w:tcW w:type="dxa" w:w="3352"/>
          </w:tcPr>
          <w:p>
            <w:pPr>
              <w:pStyle w:val="Compact"/>
              <w:spacing w:after="20"/>
              <w:jc w:val="left"/>
            </w:pPr>
            <w:r>
              <w:rPr>
                <w:sz w:val="18"/>
              </w:rPr>
              <w:t xml:space="preserve">5</w:t>
            </w:r>
          </w:p>
        </w:tc>
        <w:tc>
          <w:tcPr>
            <w:tcW w:type="dxa" w:w="465"/>
          </w:tcPr>
          <w:p>
            <w:pPr>
              <w:pStyle w:val="Compact"/>
              <w:spacing w:after="20"/>
              <w:jc w:val="left"/>
            </w:pPr>
            <w:r>
              <w:rPr>
                <w:bCs/>
                <w:b/>
                <w:sz w:val="18"/>
              </w:rPr>
              <w:t xml:space="preserve">La Guajira</w:t>
            </w:r>
          </w:p>
        </w:tc>
        <w:tc>
          <w:tcPr>
            <w:tcW w:type="dxa" w:w="465"/>
          </w:tcPr>
          <w:p>
            <w:pPr>
              <w:pStyle w:val="Compact"/>
              <w:spacing w:after="20"/>
              <w:jc w:val="left"/>
            </w:pPr>
            <w:r>
              <w:rPr>
                <w:sz w:val="18"/>
              </w:rPr>
              <w:t xml:space="preserve">1.082.618</w:t>
            </w:r>
          </w:p>
        </w:tc>
        <w:tc>
          <w:tcPr>
            <w:tcW w:type="dxa" w:w="465"/>
          </w:tcPr>
          <w:p>
            <w:pPr>
              <w:pStyle w:val="Compact"/>
              <w:spacing w:after="20"/>
              <w:jc w:val="left"/>
            </w:pPr>
            <w:r>
              <w:rPr>
                <w:sz w:val="18"/>
              </w:rPr>
              <w:t xml:space="preserve">15</w:t>
            </w:r>
          </w:p>
        </w:tc>
        <w:tc>
          <w:tcPr>
            <w:tcW w:type="dxa" w:w="465"/>
          </w:tcPr>
          <w:p>
            <w:pPr>
              <w:pStyle w:val="Compact"/>
              <w:spacing w:after="20"/>
              <w:jc w:val="left"/>
            </w:pPr>
            <w:r>
              <w:rPr>
                <w:sz w:val="18"/>
              </w:rPr>
              <w:t xml:space="preserve">88</w:t>
            </w:r>
          </w:p>
        </w:tc>
        <w:tc>
          <w:tcPr>
            <w:tcW w:type="dxa" w:w="465"/>
          </w:tcPr>
          <w:p>
            <w:pPr>
              <w:pStyle w:val="Compact"/>
              <w:spacing w:after="20"/>
              <w:jc w:val="left"/>
            </w:pPr>
            <w:r>
              <w:rPr>
                <w:sz w:val="18"/>
              </w:rPr>
              <w:t xml:space="preserve">9</w:t>
            </w:r>
          </w:p>
        </w:tc>
        <w:tc>
          <w:tcPr>
            <w:tcW w:type="dxa" w:w="465"/>
          </w:tcPr>
          <w:p>
            <w:pPr>
              <w:pStyle w:val="Compact"/>
              <w:spacing w:after="20"/>
              <w:jc w:val="left"/>
            </w:pPr>
            <w:r>
              <w:rPr>
                <w:sz w:val="18"/>
              </w:rPr>
              <w:t xml:space="preserve">83,0 %</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89</w:t>
            </w:r>
          </w:p>
        </w:tc>
        <w:tc>
          <w:tcPr>
            <w:tcW w:type="dxa" w:w="465"/>
          </w:tcPr>
          <w:p>
            <w:pPr>
              <w:pStyle w:val="Compact"/>
              <w:spacing w:after="20"/>
              <w:jc w:val="left"/>
            </w:pPr>
            <w:r>
              <w:rPr>
                <w:sz w:val="18"/>
              </w:rPr>
              <w:t xml:space="preserve">87</w:t>
            </w:r>
          </w:p>
        </w:tc>
        <w:tc>
          <w:tcPr>
            <w:tcW w:type="dxa" w:w="465"/>
          </w:tcPr>
          <w:p>
            <w:pPr>
              <w:pStyle w:val="Compact"/>
              <w:spacing w:after="20"/>
              <w:jc w:val="left"/>
            </w:pPr>
            <w:r>
              <w:rPr>
                <w:sz w:val="18"/>
              </w:rPr>
              <w:t xml:space="preserve">83</w:t>
            </w:r>
          </w:p>
        </w:tc>
        <w:tc>
          <w:tcPr>
            <w:tcW w:type="dxa" w:w="465"/>
          </w:tcPr>
          <w:p>
            <w:pPr>
              <w:pStyle w:val="Compact"/>
              <w:spacing w:after="20"/>
              <w:jc w:val="left"/>
            </w:pPr>
            <w:r>
              <w:rPr>
                <w:sz w:val="18"/>
              </w:rPr>
              <w:t xml:space="preserve">64</w:t>
            </w:r>
          </w:p>
        </w:tc>
        <w:tc>
          <w:tcPr>
            <w:tcW w:type="dxa" w:w="465"/>
          </w:tcPr>
          <w:p>
            <w:pPr>
              <w:pStyle w:val="Compact"/>
              <w:spacing w:after="20"/>
              <w:jc w:val="left"/>
            </w:pPr>
            <w:r>
              <w:rPr>
                <w:sz w:val="18"/>
              </w:rPr>
              <w:t xml:space="preserve">75</w:t>
            </w:r>
          </w:p>
        </w:tc>
        <w:tc>
          <w:tcPr>
            <w:tcW w:type="dxa" w:w="465"/>
          </w:tcPr>
          <w:p>
            <w:pPr>
              <w:pStyle w:val="Compact"/>
              <w:spacing w:after="20"/>
              <w:jc w:val="left"/>
            </w:pPr>
            <w:r>
              <w:rPr>
                <w:sz w:val="18"/>
              </w:rPr>
              <w:t xml:space="preserve">59</w:t>
            </w:r>
          </w:p>
        </w:tc>
      </w:tr>
      <w:tr>
        <w:tc>
          <w:tcPr>
            <w:tcW w:type="dxa" w:w="3352"/>
          </w:tcPr>
          <w:p>
            <w:pPr>
              <w:pStyle w:val="Compact"/>
              <w:spacing w:after="20"/>
              <w:jc w:val="left"/>
            </w:pPr>
            <w:r>
              <w:rPr>
                <w:sz w:val="18"/>
              </w:rPr>
              <w:t xml:space="preserve">6</w:t>
            </w:r>
          </w:p>
        </w:tc>
        <w:tc>
          <w:tcPr>
            <w:tcW w:type="dxa" w:w="465"/>
          </w:tcPr>
          <w:p>
            <w:pPr>
              <w:pStyle w:val="Compact"/>
              <w:spacing w:after="20"/>
              <w:jc w:val="left"/>
            </w:pPr>
            <w:r>
              <w:rPr>
                <w:bCs/>
                <w:b/>
                <w:sz w:val="18"/>
              </w:rPr>
              <w:t xml:space="preserve">Amazonas</w:t>
            </w:r>
          </w:p>
        </w:tc>
        <w:tc>
          <w:tcPr>
            <w:tcW w:type="dxa" w:w="465"/>
          </w:tcPr>
          <w:p>
            <w:pPr>
              <w:pStyle w:val="Compact"/>
              <w:spacing w:after="20"/>
              <w:jc w:val="left"/>
            </w:pPr>
            <w:r>
              <w:rPr>
                <w:sz w:val="18"/>
              </w:rPr>
              <w:t xml:space="preserve">85.896</w:t>
            </w:r>
          </w:p>
        </w:tc>
        <w:tc>
          <w:tcPr>
            <w:tcW w:type="dxa" w:w="465"/>
          </w:tcPr>
          <w:p>
            <w:pPr>
              <w:pStyle w:val="Compact"/>
              <w:spacing w:after="20"/>
              <w:jc w:val="left"/>
            </w:pPr>
            <w:r>
              <w:rPr>
                <w:sz w:val="18"/>
              </w:rPr>
              <w:t xml:space="preserve">11</w:t>
            </w:r>
          </w:p>
        </w:tc>
        <w:tc>
          <w:tcPr>
            <w:tcW w:type="dxa" w:w="465"/>
          </w:tcPr>
          <w:p>
            <w:pPr>
              <w:pStyle w:val="Compact"/>
              <w:spacing w:after="20"/>
              <w:jc w:val="left"/>
            </w:pPr>
            <w:r>
              <w:rPr>
                <w:sz w:val="18"/>
              </w:rPr>
              <w:t xml:space="preserve">88</w:t>
            </w:r>
          </w:p>
        </w:tc>
        <w:tc>
          <w:tcPr>
            <w:tcW w:type="dxa" w:w="465"/>
          </w:tcPr>
          <w:p>
            <w:pPr>
              <w:pStyle w:val="Compact"/>
              <w:spacing w:after="20"/>
              <w:jc w:val="left"/>
            </w:pPr>
            <w:r>
              <w:rPr>
                <w:sz w:val="18"/>
              </w:rPr>
              <w:t xml:space="preserve">11</w:t>
            </w:r>
          </w:p>
        </w:tc>
        <w:tc>
          <w:tcPr>
            <w:tcW w:type="dxa" w:w="465"/>
          </w:tcPr>
          <w:p>
            <w:pPr>
              <w:pStyle w:val="Compact"/>
              <w:spacing w:after="20"/>
              <w:jc w:val="left"/>
            </w:pPr>
            <w:r>
              <w:rPr>
                <w:sz w:val="18"/>
              </w:rPr>
              <w:t xml:space="preserve">100,0 %</w:t>
            </w:r>
          </w:p>
        </w:tc>
        <w:tc>
          <w:tcPr>
            <w:tcW w:type="dxa" w:w="465"/>
          </w:tcPr>
          <w:p>
            <w:pPr>
              <w:pStyle w:val="Compact"/>
              <w:spacing w:after="20"/>
              <w:jc w:val="left"/>
            </w:pPr>
            <w:r>
              <w:rPr>
                <w:sz w:val="18"/>
              </w:rPr>
              <w:t xml:space="preserve">15</w:t>
            </w:r>
          </w:p>
        </w:tc>
        <w:tc>
          <w:tcPr>
            <w:tcW w:type="dxa" w:w="465"/>
          </w:tcPr>
          <w:p>
            <w:pPr>
              <w:pStyle w:val="Compact"/>
              <w:spacing w:after="20"/>
              <w:jc w:val="left"/>
            </w:pPr>
            <w:r>
              <w:rPr>
                <w:sz w:val="18"/>
              </w:rPr>
              <w:t xml:space="preserve">71</w:t>
            </w:r>
          </w:p>
        </w:tc>
        <w:tc>
          <w:tcPr>
            <w:tcW w:type="dxa" w:w="465"/>
          </w:tcPr>
          <w:p>
            <w:pPr>
              <w:pStyle w:val="Compact"/>
              <w:spacing w:after="20"/>
              <w:jc w:val="left"/>
            </w:pPr>
            <w:r>
              <w:rPr>
                <w:sz w:val="18"/>
              </w:rPr>
              <w:t xml:space="preserve">82</w:t>
            </w:r>
          </w:p>
        </w:tc>
        <w:tc>
          <w:tcPr>
            <w:tcW w:type="dxa" w:w="465"/>
          </w:tcPr>
          <w:p>
            <w:pPr>
              <w:pStyle w:val="Compact"/>
              <w:spacing w:after="20"/>
              <w:jc w:val="left"/>
            </w:pPr>
            <w:r>
              <w:rPr>
                <w:sz w:val="18"/>
              </w:rPr>
              <w:t xml:space="preserve">77</w:t>
            </w:r>
          </w:p>
        </w:tc>
        <w:tc>
          <w:tcPr>
            <w:tcW w:type="dxa" w:w="465"/>
          </w:tcPr>
          <w:p>
            <w:pPr>
              <w:pStyle w:val="Compact"/>
              <w:spacing w:after="20"/>
              <w:jc w:val="left"/>
            </w:pPr>
            <w:r>
              <w:rPr>
                <w:sz w:val="18"/>
              </w:rPr>
              <w:t xml:space="preserve">70</w:t>
            </w:r>
          </w:p>
        </w:tc>
        <w:tc>
          <w:tcPr>
            <w:tcW w:type="dxa" w:w="465"/>
          </w:tcPr>
          <w:p>
            <w:pPr>
              <w:pStyle w:val="Compact"/>
              <w:spacing w:after="20"/>
              <w:jc w:val="left"/>
            </w:pPr>
            <w:r>
              <w:rPr>
                <w:sz w:val="18"/>
              </w:rPr>
              <w:t xml:space="preserve">71</w:t>
            </w:r>
          </w:p>
        </w:tc>
        <w:tc>
          <w:tcPr>
            <w:tcW w:type="dxa" w:w="465"/>
          </w:tcPr>
          <w:p>
            <w:pPr>
              <w:pStyle w:val="Compact"/>
              <w:spacing w:after="20"/>
              <w:jc w:val="left"/>
            </w:pPr>
            <w:r>
              <w:rPr>
                <w:sz w:val="18"/>
              </w:rPr>
              <w:t xml:space="preserve">92</w:t>
            </w:r>
          </w:p>
        </w:tc>
        <w:tc>
          <w:tcPr>
            <w:tcW w:type="dxa" w:w="465"/>
          </w:tcPr>
          <w:p>
            <w:pPr>
              <w:pStyle w:val="Compact"/>
              <w:spacing w:after="20"/>
              <w:jc w:val="left"/>
            </w:pPr>
            <w:r>
              <w:rPr>
                <w:sz w:val="18"/>
              </w:rPr>
              <w:t xml:space="preserve">66</w:t>
            </w:r>
          </w:p>
        </w:tc>
      </w:tr>
      <w:tr>
        <w:tc>
          <w:tcPr>
            <w:tcW w:type="dxa" w:w="3352"/>
          </w:tcPr>
          <w:p>
            <w:pPr>
              <w:pStyle w:val="Compact"/>
              <w:spacing w:after="20"/>
              <w:jc w:val="left"/>
            </w:pPr>
            <w:r>
              <w:rPr>
                <w:sz w:val="18"/>
              </w:rPr>
              <w:t xml:space="preserve">7</w:t>
            </w:r>
          </w:p>
        </w:tc>
        <w:tc>
          <w:tcPr>
            <w:tcW w:type="dxa" w:w="465"/>
          </w:tcPr>
          <w:p>
            <w:pPr>
              <w:pStyle w:val="Compact"/>
              <w:spacing w:after="20"/>
              <w:jc w:val="left"/>
            </w:pPr>
            <w:r>
              <w:rPr>
                <w:bCs/>
                <w:b/>
                <w:sz w:val="18"/>
              </w:rPr>
              <w:t xml:space="preserve">Guaviare</w:t>
            </w:r>
          </w:p>
        </w:tc>
        <w:tc>
          <w:tcPr>
            <w:tcW w:type="dxa" w:w="465"/>
          </w:tcPr>
          <w:p>
            <w:pPr>
              <w:pStyle w:val="Compact"/>
              <w:spacing w:after="20"/>
              <w:jc w:val="left"/>
            </w:pPr>
            <w:r>
              <w:rPr>
                <w:sz w:val="18"/>
              </w:rPr>
              <w:t xml:space="preserve">84.833</w:t>
            </w:r>
          </w:p>
        </w:tc>
        <w:tc>
          <w:tcPr>
            <w:tcW w:type="dxa" w:w="465"/>
          </w:tcPr>
          <w:p>
            <w:pPr>
              <w:pStyle w:val="Compact"/>
              <w:spacing w:after="20"/>
              <w:jc w:val="left"/>
            </w:pPr>
            <w:r>
              <w:rPr>
                <w:sz w:val="18"/>
              </w:rPr>
              <w:t xml:space="preserve">4</w:t>
            </w:r>
          </w:p>
        </w:tc>
        <w:tc>
          <w:tcPr>
            <w:tcW w:type="dxa" w:w="465"/>
          </w:tcPr>
          <w:p>
            <w:pPr>
              <w:pStyle w:val="Compact"/>
              <w:spacing w:after="20"/>
              <w:jc w:val="left"/>
            </w:pPr>
            <w:r>
              <w:rPr>
                <w:sz w:val="18"/>
              </w:rPr>
              <w:t xml:space="preserve">78</w:t>
            </w:r>
          </w:p>
        </w:tc>
        <w:tc>
          <w:tcPr>
            <w:tcW w:type="dxa" w:w="465"/>
          </w:tcPr>
          <w:p>
            <w:pPr>
              <w:pStyle w:val="Compact"/>
              <w:spacing w:after="20"/>
              <w:jc w:val="left"/>
            </w:pPr>
            <w:r>
              <w:rPr>
                <w:sz w:val="18"/>
              </w:rPr>
              <w:t xml:space="preserve">1</w:t>
            </w:r>
          </w:p>
        </w:tc>
        <w:tc>
          <w:tcPr>
            <w:tcW w:type="dxa" w:w="465"/>
          </w:tcPr>
          <w:p>
            <w:pPr>
              <w:pStyle w:val="Compact"/>
              <w:spacing w:after="20"/>
              <w:jc w:val="left"/>
            </w:pPr>
            <w:r>
              <w:rPr>
                <w:sz w:val="18"/>
              </w:rPr>
              <w:t xml:space="preserve">8,4 %</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78</w:t>
            </w:r>
          </w:p>
        </w:tc>
        <w:tc>
          <w:tcPr>
            <w:tcW w:type="dxa" w:w="465"/>
          </w:tcPr>
          <w:p>
            <w:pPr>
              <w:pStyle w:val="Compact"/>
              <w:spacing w:after="20"/>
              <w:jc w:val="left"/>
            </w:pPr>
            <w:r>
              <w:rPr>
                <w:sz w:val="18"/>
              </w:rPr>
              <w:t xml:space="preserve">53</w:t>
            </w:r>
          </w:p>
        </w:tc>
        <w:tc>
          <w:tcPr>
            <w:tcW w:type="dxa" w:w="465"/>
          </w:tcPr>
          <w:p>
            <w:pPr>
              <w:pStyle w:val="Compact"/>
              <w:spacing w:after="20"/>
              <w:jc w:val="left"/>
            </w:pPr>
            <w:r>
              <w:rPr>
                <w:sz w:val="18"/>
              </w:rPr>
              <w:t xml:space="preserve">57</w:t>
            </w:r>
          </w:p>
        </w:tc>
        <w:tc>
          <w:tcPr>
            <w:tcW w:type="dxa" w:w="465"/>
          </w:tcPr>
          <w:p>
            <w:pPr>
              <w:pStyle w:val="Compact"/>
              <w:spacing w:after="20"/>
              <w:jc w:val="left"/>
            </w:pPr>
            <w:r>
              <w:rPr>
                <w:sz w:val="18"/>
              </w:rPr>
              <w:t xml:space="preserve">76</w:t>
            </w:r>
          </w:p>
        </w:tc>
        <w:tc>
          <w:tcPr>
            <w:tcW w:type="dxa" w:w="465"/>
          </w:tcPr>
          <w:p>
            <w:pPr>
              <w:pStyle w:val="Compact"/>
              <w:spacing w:after="20"/>
              <w:jc w:val="left"/>
            </w:pPr>
            <w:r>
              <w:rPr>
                <w:sz w:val="18"/>
              </w:rPr>
              <w:t xml:space="preserve">64</w:t>
            </w:r>
          </w:p>
        </w:tc>
        <w:tc>
          <w:tcPr>
            <w:tcW w:type="dxa" w:w="465"/>
          </w:tcPr>
          <w:p>
            <w:pPr>
              <w:pStyle w:val="Compact"/>
              <w:spacing w:after="20"/>
              <w:jc w:val="left"/>
            </w:pPr>
            <w:r>
              <w:rPr>
                <w:sz w:val="18"/>
              </w:rPr>
              <w:t xml:space="preserve">80</w:t>
            </w:r>
          </w:p>
        </w:tc>
        <w:tc>
          <w:tcPr>
            <w:tcW w:type="dxa" w:w="465"/>
          </w:tcPr>
          <w:p>
            <w:pPr>
              <w:pStyle w:val="Compact"/>
              <w:spacing w:after="20"/>
              <w:jc w:val="left"/>
            </w:pPr>
            <w:r>
              <w:rPr>
                <w:sz w:val="18"/>
              </w:rPr>
              <w:t xml:space="preserve">34</w:t>
            </w:r>
          </w:p>
        </w:tc>
      </w:tr>
      <w:tr>
        <w:tc>
          <w:tcPr>
            <w:tcW w:type="dxa" w:w="3352"/>
          </w:tcPr>
          <w:p>
            <w:pPr>
              <w:pStyle w:val="Compact"/>
              <w:spacing w:after="20"/>
              <w:jc w:val="left"/>
            </w:pPr>
            <w:r>
              <w:rPr>
                <w:sz w:val="18"/>
              </w:rPr>
              <w:t xml:space="preserve">8</w:t>
            </w:r>
          </w:p>
        </w:tc>
        <w:tc>
          <w:tcPr>
            <w:tcW w:type="dxa" w:w="465"/>
          </w:tcPr>
          <w:p>
            <w:pPr>
              <w:pStyle w:val="Compact"/>
              <w:spacing w:after="20"/>
              <w:jc w:val="left"/>
            </w:pPr>
            <w:r>
              <w:rPr>
                <w:bCs/>
                <w:b/>
                <w:sz w:val="18"/>
              </w:rPr>
              <w:t xml:space="preserve">Arauca</w:t>
            </w:r>
          </w:p>
        </w:tc>
        <w:tc>
          <w:tcPr>
            <w:tcW w:type="dxa" w:w="465"/>
          </w:tcPr>
          <w:p>
            <w:pPr>
              <w:pStyle w:val="Compact"/>
              <w:spacing w:after="20"/>
              <w:jc w:val="left"/>
            </w:pPr>
            <w:r>
              <w:rPr>
                <w:sz w:val="18"/>
              </w:rPr>
              <w:t xml:space="preserve">280.022</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70</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20,7 %</w:t>
            </w:r>
          </w:p>
        </w:tc>
        <w:tc>
          <w:tcPr>
            <w:tcW w:type="dxa" w:w="465"/>
          </w:tcPr>
          <w:p>
            <w:pPr>
              <w:pStyle w:val="Compact"/>
              <w:spacing w:after="20"/>
              <w:jc w:val="left"/>
            </w:pPr>
            <w:r>
              <w:rPr>
                <w:sz w:val="18"/>
              </w:rPr>
              <w:t xml:space="preserve">24</w:t>
            </w:r>
          </w:p>
        </w:tc>
        <w:tc>
          <w:tcPr>
            <w:tcW w:type="dxa" w:w="465"/>
          </w:tcPr>
          <w:p>
            <w:pPr>
              <w:pStyle w:val="Compact"/>
              <w:spacing w:after="20"/>
              <w:jc w:val="left"/>
            </w:pPr>
            <w:r>
              <w:rPr>
                <w:sz w:val="18"/>
              </w:rPr>
              <w:t xml:space="preserve">87</w:t>
            </w:r>
          </w:p>
        </w:tc>
        <w:tc>
          <w:tcPr>
            <w:tcW w:type="dxa" w:w="465"/>
          </w:tcPr>
          <w:p>
            <w:pPr>
              <w:pStyle w:val="Compact"/>
              <w:spacing w:after="20"/>
              <w:jc w:val="left"/>
            </w:pPr>
            <w:r>
              <w:rPr>
                <w:sz w:val="18"/>
              </w:rPr>
              <w:t xml:space="preserve">61</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77</w:t>
            </w:r>
          </w:p>
        </w:tc>
        <w:tc>
          <w:tcPr>
            <w:tcW w:type="dxa" w:w="465"/>
          </w:tcPr>
          <w:p>
            <w:pPr>
              <w:pStyle w:val="Compact"/>
              <w:spacing w:after="20"/>
              <w:jc w:val="left"/>
            </w:pPr>
            <w:r>
              <w:rPr>
                <w:sz w:val="18"/>
              </w:rPr>
              <w:t xml:space="preserve">46</w:t>
            </w:r>
          </w:p>
        </w:tc>
        <w:tc>
          <w:tcPr>
            <w:tcW w:type="dxa" w:w="465"/>
          </w:tcPr>
          <w:p>
            <w:pPr>
              <w:pStyle w:val="Compact"/>
              <w:spacing w:after="20"/>
              <w:jc w:val="left"/>
            </w:pPr>
            <w:r>
              <w:rPr>
                <w:sz w:val="18"/>
              </w:rPr>
              <w:t xml:space="preserve">55</w:t>
            </w:r>
          </w:p>
        </w:tc>
        <w:tc>
          <w:tcPr>
            <w:tcW w:type="dxa" w:w="465"/>
          </w:tcPr>
          <w:p>
            <w:pPr>
              <w:pStyle w:val="Compact"/>
              <w:spacing w:after="20"/>
              <w:jc w:val="left"/>
            </w:pPr>
            <w:r>
              <w:rPr>
                <w:sz w:val="18"/>
              </w:rPr>
              <w:t xml:space="preserve">28</w:t>
            </w:r>
          </w:p>
        </w:tc>
      </w:tr>
      <w:tr>
        <w:tc>
          <w:tcPr>
            <w:tcW w:type="dxa" w:w="3352"/>
          </w:tcPr>
          <w:p>
            <w:pPr>
              <w:pStyle w:val="Compact"/>
              <w:spacing w:after="20"/>
              <w:jc w:val="left"/>
            </w:pPr>
            <w:r>
              <w:rPr>
                <w:sz w:val="18"/>
              </w:rPr>
              <w:t xml:space="preserve">9</w:t>
            </w:r>
          </w:p>
        </w:tc>
        <w:tc>
          <w:tcPr>
            <w:tcW w:type="dxa" w:w="465"/>
          </w:tcPr>
          <w:p>
            <w:pPr>
              <w:pStyle w:val="Compact"/>
              <w:spacing w:after="20"/>
              <w:jc w:val="left"/>
            </w:pPr>
            <w:r>
              <w:rPr>
                <w:bCs/>
                <w:b/>
                <w:sz w:val="18"/>
              </w:rPr>
              <w:t xml:space="preserve">Magdalena</w:t>
            </w:r>
          </w:p>
        </w:tc>
        <w:tc>
          <w:tcPr>
            <w:tcW w:type="dxa" w:w="465"/>
          </w:tcPr>
          <w:p>
            <w:pPr>
              <w:pStyle w:val="Compact"/>
              <w:spacing w:after="20"/>
              <w:jc w:val="left"/>
            </w:pPr>
            <w:r>
              <w:rPr>
                <w:sz w:val="18"/>
              </w:rPr>
              <w:t xml:space="preserve">1.558.748</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66</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27,1 %</w:t>
            </w:r>
          </w:p>
        </w:tc>
        <w:tc>
          <w:tcPr>
            <w:tcW w:type="dxa" w:w="465"/>
          </w:tcPr>
          <w:p>
            <w:pPr>
              <w:pStyle w:val="Compact"/>
              <w:spacing w:after="20"/>
              <w:jc w:val="left"/>
            </w:pPr>
            <w:r>
              <w:rPr>
                <w:sz w:val="18"/>
              </w:rPr>
              <w:t xml:space="preserve">52</w:t>
            </w:r>
          </w:p>
        </w:tc>
        <w:tc>
          <w:tcPr>
            <w:tcW w:type="dxa" w:w="465"/>
          </w:tcPr>
          <w:p>
            <w:pPr>
              <w:pStyle w:val="Compact"/>
              <w:spacing w:after="20"/>
              <w:jc w:val="left"/>
            </w:pPr>
            <w:r>
              <w:rPr>
                <w:sz w:val="18"/>
              </w:rPr>
              <w:t xml:space="preserve">75</w:t>
            </w:r>
          </w:p>
        </w:tc>
        <w:tc>
          <w:tcPr>
            <w:tcW w:type="dxa" w:w="465"/>
          </w:tcPr>
          <w:p>
            <w:pPr>
              <w:pStyle w:val="Compact"/>
              <w:spacing w:after="20"/>
              <w:jc w:val="left"/>
            </w:pPr>
            <w:r>
              <w:rPr>
                <w:sz w:val="18"/>
              </w:rPr>
              <w:t xml:space="preserve">66</w:t>
            </w:r>
          </w:p>
        </w:tc>
        <w:tc>
          <w:tcPr>
            <w:tcW w:type="dxa" w:w="465"/>
          </w:tcPr>
          <w:p>
            <w:pPr>
              <w:pStyle w:val="Compact"/>
              <w:spacing w:after="20"/>
              <w:jc w:val="left"/>
            </w:pPr>
            <w:r>
              <w:rPr>
                <w:sz w:val="18"/>
              </w:rPr>
              <w:t xml:space="preserve">56</w:t>
            </w:r>
          </w:p>
        </w:tc>
        <w:tc>
          <w:tcPr>
            <w:tcW w:type="dxa" w:w="465"/>
          </w:tcPr>
          <w:p>
            <w:pPr>
              <w:pStyle w:val="Compact"/>
              <w:spacing w:after="20"/>
              <w:jc w:val="left"/>
            </w:pPr>
            <w:r>
              <w:rPr>
                <w:sz w:val="18"/>
              </w:rPr>
              <w:t xml:space="preserve">61</w:t>
            </w:r>
          </w:p>
        </w:tc>
        <w:tc>
          <w:tcPr>
            <w:tcW w:type="dxa" w:w="465"/>
          </w:tcPr>
          <w:p>
            <w:pPr>
              <w:pStyle w:val="Compact"/>
              <w:spacing w:after="20"/>
              <w:jc w:val="left"/>
            </w:pPr>
            <w:r>
              <w:rPr>
                <w:sz w:val="18"/>
              </w:rPr>
              <w:t xml:space="preserve">39</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45</w:t>
            </w:r>
          </w:p>
        </w:tc>
      </w:tr>
      <w:tr>
        <w:tc>
          <w:tcPr>
            <w:tcW w:type="dxa" w:w="3352"/>
          </w:tcPr>
          <w:p>
            <w:pPr>
              <w:pStyle w:val="Compact"/>
              <w:spacing w:after="20"/>
              <w:jc w:val="left"/>
            </w:pPr>
            <w:r>
              <w:rPr>
                <w:sz w:val="18"/>
              </w:rPr>
              <w:t xml:space="preserve">10</w:t>
            </w:r>
          </w:p>
        </w:tc>
        <w:tc>
          <w:tcPr>
            <w:tcW w:type="dxa" w:w="465"/>
          </w:tcPr>
          <w:p>
            <w:pPr>
              <w:pStyle w:val="Compact"/>
              <w:spacing w:after="20"/>
              <w:jc w:val="left"/>
            </w:pPr>
            <w:r>
              <w:rPr>
                <w:bCs/>
                <w:b/>
                <w:sz w:val="18"/>
              </w:rPr>
              <w:t xml:space="preserve">Cesar</w:t>
            </w:r>
          </w:p>
        </w:tc>
        <w:tc>
          <w:tcPr>
            <w:tcW w:type="dxa" w:w="465"/>
          </w:tcPr>
          <w:p>
            <w:pPr>
              <w:pStyle w:val="Compact"/>
              <w:spacing w:after="20"/>
              <w:jc w:val="left"/>
            </w:pPr>
            <w:r>
              <w:rPr>
                <w:sz w:val="18"/>
              </w:rPr>
              <w:t xml:space="preserve">1.493.824</w:t>
            </w:r>
          </w:p>
        </w:tc>
        <w:tc>
          <w:tcPr>
            <w:tcW w:type="dxa" w:w="465"/>
          </w:tcPr>
          <w:p>
            <w:pPr>
              <w:pStyle w:val="Compact"/>
              <w:spacing w:after="20"/>
              <w:jc w:val="left"/>
            </w:pPr>
            <w:r>
              <w:rPr>
                <w:sz w:val="18"/>
              </w:rPr>
              <w:t xml:space="preserve">25</w:t>
            </w:r>
          </w:p>
        </w:tc>
        <w:tc>
          <w:tcPr>
            <w:tcW w:type="dxa" w:w="465"/>
          </w:tcPr>
          <w:p>
            <w:pPr>
              <w:pStyle w:val="Compact"/>
              <w:spacing w:after="20"/>
              <w:jc w:val="left"/>
            </w:pPr>
            <w:r>
              <w:rPr>
                <w:sz w:val="18"/>
              </w:rPr>
              <w:t xml:space="preserve">64</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18,6 %</w:t>
            </w:r>
          </w:p>
        </w:tc>
        <w:tc>
          <w:tcPr>
            <w:tcW w:type="dxa" w:w="465"/>
          </w:tcPr>
          <w:p>
            <w:pPr>
              <w:pStyle w:val="Compact"/>
              <w:spacing w:after="20"/>
              <w:jc w:val="left"/>
            </w:pPr>
            <w:r>
              <w:rPr>
                <w:sz w:val="18"/>
              </w:rPr>
              <w:t xml:space="preserve">53</w:t>
            </w:r>
          </w:p>
        </w:tc>
        <w:tc>
          <w:tcPr>
            <w:tcW w:type="dxa" w:w="465"/>
          </w:tcPr>
          <w:p>
            <w:pPr>
              <w:pStyle w:val="Compact"/>
              <w:spacing w:after="20"/>
              <w:jc w:val="left"/>
            </w:pPr>
            <w:r>
              <w:rPr>
                <w:sz w:val="18"/>
              </w:rPr>
              <w:t xml:space="preserve">76</w:t>
            </w:r>
          </w:p>
        </w:tc>
        <w:tc>
          <w:tcPr>
            <w:tcW w:type="dxa" w:w="465"/>
          </w:tcPr>
          <w:p>
            <w:pPr>
              <w:pStyle w:val="Compact"/>
              <w:spacing w:after="20"/>
              <w:jc w:val="left"/>
            </w:pPr>
            <w:r>
              <w:rPr>
                <w:sz w:val="18"/>
              </w:rPr>
              <w:t xml:space="preserve">63</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62</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58</w:t>
            </w:r>
          </w:p>
        </w:tc>
        <w:tc>
          <w:tcPr>
            <w:tcW w:type="dxa" w:w="465"/>
          </w:tcPr>
          <w:p>
            <w:pPr>
              <w:pStyle w:val="Compact"/>
              <w:spacing w:after="20"/>
              <w:jc w:val="left"/>
            </w:pPr>
            <w:r>
              <w:rPr>
                <w:sz w:val="18"/>
              </w:rPr>
              <w:t xml:space="preserve">38</w:t>
            </w:r>
          </w:p>
        </w:tc>
      </w:tr>
      <w:tr>
        <w:tc>
          <w:tcPr>
            <w:tcW w:type="dxa" w:w="3352"/>
          </w:tcPr>
          <w:p>
            <w:pPr>
              <w:pStyle w:val="Compact"/>
              <w:spacing w:after="20"/>
              <w:jc w:val="left"/>
            </w:pPr>
            <w:r>
              <w:rPr>
                <w:sz w:val="18"/>
              </w:rPr>
              <w:t xml:space="preserve">11</w:t>
            </w:r>
          </w:p>
        </w:tc>
        <w:tc>
          <w:tcPr>
            <w:tcW w:type="dxa" w:w="465"/>
          </w:tcPr>
          <w:p>
            <w:pPr>
              <w:pStyle w:val="Compact"/>
              <w:spacing w:after="20"/>
              <w:jc w:val="left"/>
            </w:pPr>
            <w:r>
              <w:rPr>
                <w:bCs/>
                <w:b/>
                <w:sz w:val="18"/>
              </w:rPr>
              <w:t xml:space="preserve">Caquetá</w:t>
            </w:r>
          </w:p>
        </w:tc>
        <w:tc>
          <w:tcPr>
            <w:tcW w:type="dxa" w:w="465"/>
          </w:tcPr>
          <w:p>
            <w:pPr>
              <w:pStyle w:val="Compact"/>
              <w:spacing w:after="20"/>
              <w:jc w:val="left"/>
            </w:pPr>
            <w:r>
              <w:rPr>
                <w:sz w:val="18"/>
              </w:rPr>
              <w:t xml:space="preserve">431.867</w:t>
            </w:r>
          </w:p>
        </w:tc>
        <w:tc>
          <w:tcPr>
            <w:tcW w:type="dxa" w:w="465"/>
          </w:tcPr>
          <w:p>
            <w:pPr>
              <w:pStyle w:val="Compact"/>
              <w:spacing w:after="20"/>
              <w:jc w:val="left"/>
            </w:pPr>
            <w:r>
              <w:rPr>
                <w:sz w:val="18"/>
              </w:rPr>
              <w:t xml:space="preserve">16</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5</w:t>
            </w:r>
          </w:p>
        </w:tc>
        <w:tc>
          <w:tcPr>
            <w:tcW w:type="dxa" w:w="465"/>
          </w:tcPr>
          <w:p>
            <w:pPr>
              <w:pStyle w:val="Compact"/>
              <w:spacing w:after="20"/>
              <w:jc w:val="left"/>
            </w:pPr>
            <w:r>
              <w:rPr>
                <w:sz w:val="18"/>
              </w:rPr>
              <w:t xml:space="preserve">27,8 %</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79</w:t>
            </w:r>
          </w:p>
        </w:tc>
        <w:tc>
          <w:tcPr>
            <w:tcW w:type="dxa" w:w="465"/>
          </w:tcPr>
          <w:p>
            <w:pPr>
              <w:pStyle w:val="Compact"/>
              <w:spacing w:after="20"/>
              <w:jc w:val="left"/>
            </w:pPr>
            <w:r>
              <w:rPr>
                <w:sz w:val="18"/>
              </w:rPr>
              <w:t xml:space="preserve">52</w:t>
            </w:r>
          </w:p>
        </w:tc>
        <w:tc>
          <w:tcPr>
            <w:tcW w:type="dxa" w:w="465"/>
          </w:tcPr>
          <w:p>
            <w:pPr>
              <w:pStyle w:val="Compact"/>
              <w:spacing w:after="20"/>
              <w:jc w:val="left"/>
            </w:pPr>
            <w:r>
              <w:rPr>
                <w:sz w:val="18"/>
              </w:rPr>
              <w:t xml:space="preserve">52</w:t>
            </w:r>
          </w:p>
        </w:tc>
        <w:tc>
          <w:tcPr>
            <w:tcW w:type="dxa" w:w="465"/>
          </w:tcPr>
          <w:p>
            <w:pPr>
              <w:pStyle w:val="Compact"/>
              <w:spacing w:after="20"/>
              <w:jc w:val="left"/>
            </w:pPr>
            <w:r>
              <w:rPr>
                <w:sz w:val="18"/>
              </w:rPr>
              <w:t xml:space="preserve">58</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55</w:t>
            </w:r>
          </w:p>
        </w:tc>
        <w:tc>
          <w:tcPr>
            <w:tcW w:type="dxa" w:w="465"/>
          </w:tcPr>
          <w:p>
            <w:pPr>
              <w:pStyle w:val="Compact"/>
              <w:spacing w:after="20"/>
              <w:jc w:val="left"/>
            </w:pPr>
            <w:r>
              <w:rPr>
                <w:sz w:val="18"/>
              </w:rPr>
              <w:t xml:space="preserve">34</w:t>
            </w:r>
          </w:p>
        </w:tc>
      </w:tr>
      <w:tr>
        <w:tc>
          <w:tcPr>
            <w:tcW w:type="dxa" w:w="3352"/>
          </w:tcPr>
          <w:p>
            <w:pPr>
              <w:pStyle w:val="Compact"/>
              <w:spacing w:after="20"/>
              <w:jc w:val="left"/>
            </w:pPr>
            <w:r>
              <w:rPr>
                <w:sz w:val="18"/>
              </w:rPr>
              <w:t xml:space="preserve">12</w:t>
            </w:r>
          </w:p>
        </w:tc>
        <w:tc>
          <w:tcPr>
            <w:tcW w:type="dxa" w:w="465"/>
          </w:tcPr>
          <w:p>
            <w:pPr>
              <w:pStyle w:val="Compact"/>
              <w:spacing w:after="20"/>
              <w:jc w:val="left"/>
            </w:pPr>
            <w:r>
              <w:rPr>
                <w:bCs/>
                <w:b/>
                <w:sz w:val="18"/>
              </w:rPr>
              <w:t xml:space="preserve">Putumayo</w:t>
            </w:r>
          </w:p>
        </w:tc>
        <w:tc>
          <w:tcPr>
            <w:tcW w:type="dxa" w:w="465"/>
          </w:tcPr>
          <w:p>
            <w:pPr>
              <w:pStyle w:val="Compact"/>
              <w:spacing w:after="20"/>
              <w:jc w:val="left"/>
            </w:pPr>
            <w:r>
              <w:rPr>
                <w:sz w:val="18"/>
              </w:rPr>
              <w:t xml:space="preserve">395.590</w:t>
            </w:r>
          </w:p>
        </w:tc>
        <w:tc>
          <w:tcPr>
            <w:tcW w:type="dxa" w:w="465"/>
          </w:tcPr>
          <w:p>
            <w:pPr>
              <w:pStyle w:val="Compact"/>
              <w:spacing w:after="20"/>
              <w:jc w:val="left"/>
            </w:pPr>
            <w:r>
              <w:rPr>
                <w:sz w:val="18"/>
              </w:rPr>
              <w:t xml:space="preserve">13</w:t>
            </w:r>
          </w:p>
        </w:tc>
        <w:tc>
          <w:tcPr>
            <w:tcW w:type="dxa" w:w="465"/>
          </w:tcPr>
          <w:p>
            <w:pPr>
              <w:pStyle w:val="Compact"/>
              <w:spacing w:after="20"/>
              <w:jc w:val="left"/>
            </w:pPr>
            <w:r>
              <w:rPr>
                <w:sz w:val="18"/>
              </w:rPr>
              <w:t xml:space="preserve">57</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20,5 %</w:t>
            </w:r>
          </w:p>
        </w:tc>
        <w:tc>
          <w:tcPr>
            <w:tcW w:type="dxa" w:w="465"/>
          </w:tcPr>
          <w:p>
            <w:pPr>
              <w:pStyle w:val="Compact"/>
              <w:spacing w:after="20"/>
              <w:jc w:val="left"/>
            </w:pPr>
            <w:r>
              <w:rPr>
                <w:sz w:val="18"/>
              </w:rPr>
              <w:t xml:space="preserve">81</w:t>
            </w:r>
          </w:p>
        </w:tc>
        <w:tc>
          <w:tcPr>
            <w:tcW w:type="dxa" w:w="465"/>
          </w:tcPr>
          <w:p>
            <w:pPr>
              <w:pStyle w:val="Compact"/>
              <w:spacing w:after="20"/>
              <w:jc w:val="left"/>
            </w:pPr>
            <w:r>
              <w:rPr>
                <w:sz w:val="18"/>
              </w:rPr>
              <w:t xml:space="preserve">59</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44</w:t>
            </w:r>
          </w:p>
        </w:tc>
        <w:tc>
          <w:tcPr>
            <w:tcW w:type="dxa" w:w="465"/>
          </w:tcPr>
          <w:p>
            <w:pPr>
              <w:pStyle w:val="Compact"/>
              <w:spacing w:after="20"/>
              <w:jc w:val="left"/>
            </w:pPr>
            <w:r>
              <w:rPr>
                <w:sz w:val="18"/>
              </w:rPr>
              <w:t xml:space="preserve">57</w:t>
            </w:r>
          </w:p>
        </w:tc>
        <w:tc>
          <w:tcPr>
            <w:tcW w:type="dxa" w:w="465"/>
          </w:tcPr>
          <w:p>
            <w:pPr>
              <w:pStyle w:val="Compact"/>
              <w:spacing w:after="20"/>
              <w:jc w:val="left"/>
            </w:pPr>
            <w:r>
              <w:rPr>
                <w:sz w:val="18"/>
              </w:rPr>
              <w:t xml:space="preserve">50</w:t>
            </w:r>
          </w:p>
        </w:tc>
        <w:tc>
          <w:tcPr>
            <w:tcW w:type="dxa" w:w="465"/>
          </w:tcPr>
          <w:p>
            <w:pPr>
              <w:pStyle w:val="Compact"/>
              <w:spacing w:after="20"/>
              <w:jc w:val="left"/>
            </w:pPr>
            <w:r>
              <w:rPr>
                <w:sz w:val="18"/>
              </w:rPr>
              <w:t xml:space="preserve">63</w:t>
            </w:r>
          </w:p>
        </w:tc>
        <w:tc>
          <w:tcPr>
            <w:tcW w:type="dxa" w:w="465"/>
          </w:tcPr>
          <w:p>
            <w:pPr>
              <w:pStyle w:val="Compact"/>
              <w:spacing w:after="20"/>
              <w:jc w:val="left"/>
            </w:pPr>
            <w:r>
              <w:rPr>
                <w:sz w:val="18"/>
              </w:rPr>
              <w:t xml:space="preserve">24</w:t>
            </w:r>
          </w:p>
        </w:tc>
      </w:tr>
      <w:tr>
        <w:tc>
          <w:tcPr>
            <w:tcW w:type="dxa" w:w="3352"/>
          </w:tcPr>
          <w:p>
            <w:pPr>
              <w:pStyle w:val="Compact"/>
              <w:spacing w:after="20"/>
              <w:jc w:val="left"/>
            </w:pPr>
            <w:r>
              <w:rPr>
                <w:sz w:val="18"/>
              </w:rPr>
              <w:t xml:space="preserve">13</w:t>
            </w:r>
          </w:p>
        </w:tc>
        <w:tc>
          <w:tcPr>
            <w:tcW w:type="dxa" w:w="465"/>
          </w:tcPr>
          <w:p>
            <w:pPr>
              <w:pStyle w:val="Compact"/>
              <w:spacing w:after="20"/>
              <w:jc w:val="left"/>
            </w:pPr>
            <w:r>
              <w:rPr>
                <w:bCs/>
                <w:b/>
                <w:sz w:val="18"/>
              </w:rPr>
              <w:t xml:space="preserve">Sucre</w:t>
            </w:r>
          </w:p>
        </w:tc>
        <w:tc>
          <w:tcPr>
            <w:tcW w:type="dxa" w:w="465"/>
          </w:tcPr>
          <w:p>
            <w:pPr>
              <w:pStyle w:val="Compact"/>
              <w:spacing w:after="20"/>
              <w:jc w:val="left"/>
            </w:pPr>
            <w:r>
              <w:rPr>
                <w:sz w:val="18"/>
              </w:rPr>
              <w:t xml:space="preserve">1.047.052</w:t>
            </w:r>
          </w:p>
        </w:tc>
        <w:tc>
          <w:tcPr>
            <w:tcW w:type="dxa" w:w="465"/>
          </w:tcPr>
          <w:p>
            <w:pPr>
              <w:pStyle w:val="Compact"/>
              <w:spacing w:after="20"/>
              <w:jc w:val="left"/>
            </w:pPr>
            <w:r>
              <w:rPr>
                <w:sz w:val="18"/>
              </w:rPr>
              <w:t xml:space="preserve">26</w:t>
            </w:r>
          </w:p>
        </w:tc>
        <w:tc>
          <w:tcPr>
            <w:tcW w:type="dxa" w:w="465"/>
          </w:tcPr>
          <w:p>
            <w:pPr>
              <w:pStyle w:val="Compact"/>
              <w:spacing w:after="20"/>
              <w:jc w:val="left"/>
            </w:pPr>
            <w:r>
              <w:rPr>
                <w:sz w:val="18"/>
              </w:rPr>
              <w:t xml:space="preserve">56</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13,5 %</w:t>
            </w:r>
          </w:p>
        </w:tc>
        <w:tc>
          <w:tcPr>
            <w:tcW w:type="dxa" w:w="465"/>
          </w:tcPr>
          <w:p>
            <w:pPr>
              <w:pStyle w:val="Compact"/>
              <w:spacing w:after="20"/>
              <w:jc w:val="left"/>
            </w:pPr>
            <w:r>
              <w:rPr>
                <w:sz w:val="18"/>
              </w:rPr>
              <w:t xml:space="preserve">65</w:t>
            </w:r>
          </w:p>
        </w:tc>
        <w:tc>
          <w:tcPr>
            <w:tcW w:type="dxa" w:w="465"/>
          </w:tcPr>
          <w:p>
            <w:pPr>
              <w:pStyle w:val="Compact"/>
              <w:spacing w:after="20"/>
              <w:jc w:val="left"/>
            </w:pPr>
            <w:r>
              <w:rPr>
                <w:sz w:val="18"/>
              </w:rPr>
              <w:t xml:space="preserve">57</w:t>
            </w:r>
          </w:p>
        </w:tc>
        <w:tc>
          <w:tcPr>
            <w:tcW w:type="dxa" w:w="465"/>
          </w:tcPr>
          <w:p>
            <w:pPr>
              <w:pStyle w:val="Compact"/>
              <w:spacing w:after="20"/>
              <w:jc w:val="left"/>
            </w:pPr>
            <w:r>
              <w:rPr>
                <w:sz w:val="18"/>
              </w:rPr>
              <w:t xml:space="preserve">62</w:t>
            </w:r>
          </w:p>
        </w:tc>
        <w:tc>
          <w:tcPr>
            <w:tcW w:type="dxa" w:w="465"/>
          </w:tcPr>
          <w:p>
            <w:pPr>
              <w:pStyle w:val="Compact"/>
              <w:spacing w:after="20"/>
              <w:jc w:val="left"/>
            </w:pPr>
            <w:r>
              <w:rPr>
                <w:sz w:val="18"/>
              </w:rPr>
              <w:t xml:space="preserve">63</w:t>
            </w:r>
          </w:p>
        </w:tc>
        <w:tc>
          <w:tcPr>
            <w:tcW w:type="dxa" w:w="465"/>
          </w:tcPr>
          <w:p>
            <w:pPr>
              <w:pStyle w:val="Compact"/>
              <w:spacing w:after="20"/>
              <w:jc w:val="left"/>
            </w:pPr>
            <w:r>
              <w:rPr>
                <w:sz w:val="18"/>
              </w:rPr>
              <w:t xml:space="preserve">71</w:t>
            </w:r>
          </w:p>
        </w:tc>
        <w:tc>
          <w:tcPr>
            <w:tcW w:type="dxa" w:w="465"/>
          </w:tcPr>
          <w:p>
            <w:pPr>
              <w:pStyle w:val="Compact"/>
              <w:spacing w:after="20"/>
              <w:jc w:val="left"/>
            </w:pPr>
            <w:r>
              <w:rPr>
                <w:sz w:val="18"/>
              </w:rPr>
              <w:t xml:space="preserve">32</w:t>
            </w:r>
          </w:p>
        </w:tc>
        <w:tc>
          <w:tcPr>
            <w:tcW w:type="dxa" w:w="465"/>
          </w:tcPr>
          <w:p>
            <w:pPr>
              <w:pStyle w:val="Compact"/>
              <w:spacing w:after="20"/>
              <w:jc w:val="left"/>
            </w:pPr>
            <w:r>
              <w:rPr>
                <w:sz w:val="18"/>
              </w:rPr>
              <w:t xml:space="preserve">50</w:t>
            </w:r>
          </w:p>
        </w:tc>
        <w:tc>
          <w:tcPr>
            <w:tcW w:type="dxa" w:w="465"/>
          </w:tcPr>
          <w:p>
            <w:pPr>
              <w:pStyle w:val="Compact"/>
              <w:spacing w:after="20"/>
              <w:jc w:val="left"/>
            </w:pPr>
            <w:r>
              <w:rPr>
                <w:sz w:val="18"/>
              </w:rPr>
              <w:t xml:space="preserve">45</w:t>
            </w:r>
          </w:p>
        </w:tc>
      </w:tr>
      <w:tr>
        <w:tc>
          <w:tcPr>
            <w:tcW w:type="dxa" w:w="3352"/>
          </w:tcPr>
          <w:p>
            <w:pPr>
              <w:pStyle w:val="Compact"/>
              <w:spacing w:after="20"/>
              <w:jc w:val="left"/>
            </w:pPr>
            <w:r>
              <w:rPr>
                <w:sz w:val="18"/>
              </w:rPr>
              <w:t xml:space="preserve">14</w:t>
            </w:r>
          </w:p>
        </w:tc>
        <w:tc>
          <w:tcPr>
            <w:tcW w:type="dxa" w:w="465"/>
          </w:tcPr>
          <w:p>
            <w:pPr>
              <w:pStyle w:val="Compact"/>
              <w:spacing w:after="20"/>
              <w:jc w:val="left"/>
            </w:pPr>
            <w:r>
              <w:rPr>
                <w:bCs/>
                <w:b/>
                <w:sz w:val="18"/>
              </w:rPr>
              <w:t xml:space="preserve">Córdoba</w:t>
            </w:r>
          </w:p>
        </w:tc>
        <w:tc>
          <w:tcPr>
            <w:tcW w:type="dxa" w:w="465"/>
          </w:tcPr>
          <w:p>
            <w:pPr>
              <w:pStyle w:val="Compact"/>
              <w:spacing w:after="20"/>
              <w:jc w:val="left"/>
            </w:pPr>
            <w:r>
              <w:rPr>
                <w:sz w:val="18"/>
              </w:rPr>
              <w:t xml:space="preserve">2.014.312</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55</w:t>
            </w:r>
          </w:p>
        </w:tc>
        <w:tc>
          <w:tcPr>
            <w:tcW w:type="dxa" w:w="465"/>
          </w:tcPr>
          <w:p>
            <w:pPr>
              <w:pStyle w:val="Compact"/>
              <w:spacing w:after="20"/>
              <w:jc w:val="left"/>
            </w:pPr>
            <w:r>
              <w:rPr>
                <w:sz w:val="18"/>
              </w:rPr>
              <w:t xml:space="preserve">13</w:t>
            </w:r>
          </w:p>
        </w:tc>
        <w:tc>
          <w:tcPr>
            <w:tcW w:type="dxa" w:w="465"/>
          </w:tcPr>
          <w:p>
            <w:pPr>
              <w:pStyle w:val="Compact"/>
              <w:spacing w:after="20"/>
              <w:jc w:val="left"/>
            </w:pPr>
            <w:r>
              <w:rPr>
                <w:sz w:val="18"/>
              </w:rPr>
              <w:t xml:space="preserve">25,1 %</w:t>
            </w:r>
          </w:p>
        </w:tc>
        <w:tc>
          <w:tcPr>
            <w:tcW w:type="dxa" w:w="465"/>
          </w:tcPr>
          <w:p>
            <w:pPr>
              <w:pStyle w:val="Compact"/>
              <w:spacing w:after="20"/>
              <w:jc w:val="left"/>
            </w:pPr>
            <w:r>
              <w:rPr>
                <w:sz w:val="18"/>
              </w:rPr>
              <w:t xml:space="preserve">68</w:t>
            </w:r>
          </w:p>
        </w:tc>
        <w:tc>
          <w:tcPr>
            <w:tcW w:type="dxa" w:w="465"/>
          </w:tcPr>
          <w:p>
            <w:pPr>
              <w:pStyle w:val="Compact"/>
              <w:spacing w:after="20"/>
              <w:jc w:val="left"/>
            </w:pPr>
            <w:r>
              <w:rPr>
                <w:sz w:val="18"/>
              </w:rPr>
              <w:t xml:space="preserve">45</w:t>
            </w:r>
          </w:p>
        </w:tc>
        <w:tc>
          <w:tcPr>
            <w:tcW w:type="dxa" w:w="465"/>
          </w:tcPr>
          <w:p>
            <w:pPr>
              <w:pStyle w:val="Compact"/>
              <w:spacing w:after="20"/>
              <w:jc w:val="left"/>
            </w:pPr>
            <w:r>
              <w:rPr>
                <w:sz w:val="18"/>
              </w:rPr>
              <w:t xml:space="preserve">71</w:t>
            </w:r>
          </w:p>
        </w:tc>
        <w:tc>
          <w:tcPr>
            <w:tcW w:type="dxa" w:w="465"/>
          </w:tcPr>
          <w:p>
            <w:pPr>
              <w:pStyle w:val="Compact"/>
              <w:spacing w:after="20"/>
              <w:jc w:val="left"/>
            </w:pPr>
            <w:r>
              <w:rPr>
                <w:sz w:val="18"/>
              </w:rPr>
              <w:t xml:space="preserve">56</w:t>
            </w:r>
          </w:p>
        </w:tc>
        <w:tc>
          <w:tcPr>
            <w:tcW w:type="dxa" w:w="465"/>
          </w:tcPr>
          <w:p>
            <w:pPr>
              <w:pStyle w:val="Compact"/>
              <w:spacing w:after="20"/>
              <w:jc w:val="left"/>
            </w:pPr>
            <w:r>
              <w:rPr>
                <w:sz w:val="18"/>
              </w:rPr>
              <w:t xml:space="preserve">77</w:t>
            </w:r>
          </w:p>
        </w:tc>
        <w:tc>
          <w:tcPr>
            <w:tcW w:type="dxa" w:w="465"/>
          </w:tcPr>
          <w:p>
            <w:pPr>
              <w:pStyle w:val="Compact"/>
              <w:spacing w:after="20"/>
              <w:jc w:val="left"/>
            </w:pPr>
            <w:r>
              <w:rPr>
                <w:sz w:val="18"/>
              </w:rPr>
              <w:t xml:space="preserve">36</w:t>
            </w:r>
          </w:p>
        </w:tc>
        <w:tc>
          <w:tcPr>
            <w:tcW w:type="dxa" w:w="465"/>
          </w:tcPr>
          <w:p>
            <w:pPr>
              <w:pStyle w:val="Compact"/>
              <w:spacing w:after="20"/>
              <w:jc w:val="left"/>
            </w:pPr>
            <w:r>
              <w:rPr>
                <w:sz w:val="18"/>
              </w:rPr>
              <w:t xml:space="preserve">38</w:t>
            </w:r>
          </w:p>
        </w:tc>
        <w:tc>
          <w:tcPr>
            <w:tcW w:type="dxa" w:w="465"/>
          </w:tcPr>
          <w:p>
            <w:pPr>
              <w:pStyle w:val="Compact"/>
              <w:spacing w:after="20"/>
              <w:jc w:val="left"/>
            </w:pPr>
            <w:r>
              <w:rPr>
                <w:sz w:val="18"/>
              </w:rPr>
              <w:t xml:space="preserve">48</w:t>
            </w:r>
          </w:p>
        </w:tc>
      </w:tr>
      <w:tr>
        <w:tc>
          <w:tcPr>
            <w:tcW w:type="dxa" w:w="3352"/>
          </w:tcPr>
          <w:p>
            <w:pPr>
              <w:pStyle w:val="Compact"/>
              <w:spacing w:after="20"/>
              <w:jc w:val="left"/>
            </w:pPr>
            <w:r>
              <w:rPr>
                <w:sz w:val="18"/>
              </w:rPr>
              <w:t xml:space="preserve">15</w:t>
            </w:r>
          </w:p>
        </w:tc>
        <w:tc>
          <w:tcPr>
            <w:tcW w:type="dxa" w:w="465"/>
          </w:tcPr>
          <w:p>
            <w:pPr>
              <w:pStyle w:val="Compact"/>
              <w:spacing w:after="20"/>
              <w:jc w:val="left"/>
            </w:pPr>
            <w:r>
              <w:rPr>
                <w:bCs/>
                <w:b/>
                <w:sz w:val="18"/>
              </w:rPr>
              <w:t xml:space="preserve">Bolívar</w:t>
            </w:r>
          </w:p>
        </w:tc>
        <w:tc>
          <w:tcPr>
            <w:tcW w:type="dxa" w:w="465"/>
          </w:tcPr>
          <w:p>
            <w:pPr>
              <w:pStyle w:val="Compact"/>
              <w:spacing w:after="20"/>
              <w:jc w:val="left"/>
            </w:pPr>
            <w:r>
              <w:rPr>
                <w:sz w:val="18"/>
              </w:rPr>
              <w:t xml:space="preserve">2.251.190</w:t>
            </w:r>
          </w:p>
        </w:tc>
        <w:tc>
          <w:tcPr>
            <w:tcW w:type="dxa" w:w="465"/>
          </w:tcPr>
          <w:p>
            <w:pPr>
              <w:pStyle w:val="Compact"/>
              <w:spacing w:after="20"/>
              <w:jc w:val="left"/>
            </w:pPr>
            <w:r>
              <w:rPr>
                <w:sz w:val="18"/>
              </w:rPr>
              <w:t xml:space="preserve">46</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14,5 %</w:t>
            </w:r>
          </w:p>
        </w:tc>
        <w:tc>
          <w:tcPr>
            <w:tcW w:type="dxa" w:w="465"/>
          </w:tcPr>
          <w:p>
            <w:pPr>
              <w:pStyle w:val="Compact"/>
              <w:spacing w:after="20"/>
              <w:jc w:val="left"/>
            </w:pPr>
            <w:r>
              <w:rPr>
                <w:sz w:val="18"/>
              </w:rPr>
              <w:t xml:space="preserve">86</w:t>
            </w:r>
          </w:p>
        </w:tc>
        <w:tc>
          <w:tcPr>
            <w:tcW w:type="dxa" w:w="465"/>
          </w:tcPr>
          <w:p>
            <w:pPr>
              <w:pStyle w:val="Compact"/>
              <w:spacing w:after="20"/>
              <w:jc w:val="left"/>
            </w:pPr>
            <w:r>
              <w:rPr>
                <w:sz w:val="18"/>
              </w:rPr>
              <w:t xml:space="preserve">66</w:t>
            </w:r>
          </w:p>
        </w:tc>
        <w:tc>
          <w:tcPr>
            <w:tcW w:type="dxa" w:w="465"/>
          </w:tcPr>
          <w:p>
            <w:pPr>
              <w:pStyle w:val="Compact"/>
              <w:spacing w:after="20"/>
              <w:jc w:val="left"/>
            </w:pPr>
            <w:r>
              <w:rPr>
                <w:sz w:val="18"/>
              </w:rPr>
              <w:t xml:space="preserve">62</w:t>
            </w:r>
          </w:p>
        </w:tc>
        <w:tc>
          <w:tcPr>
            <w:tcW w:type="dxa" w:w="465"/>
          </w:tcPr>
          <w:p>
            <w:pPr>
              <w:pStyle w:val="Compact"/>
              <w:spacing w:after="20"/>
              <w:jc w:val="left"/>
            </w:pPr>
            <w:r>
              <w:rPr>
                <w:sz w:val="18"/>
              </w:rPr>
              <w:t xml:space="preserve">42</w:t>
            </w:r>
          </w:p>
        </w:tc>
        <w:tc>
          <w:tcPr>
            <w:tcW w:type="dxa" w:w="465"/>
          </w:tcPr>
          <w:p>
            <w:pPr>
              <w:pStyle w:val="Compact"/>
              <w:spacing w:after="20"/>
              <w:jc w:val="left"/>
            </w:pPr>
            <w:r>
              <w:rPr>
                <w:sz w:val="18"/>
              </w:rPr>
              <w:t xml:space="preserve">63</w:t>
            </w:r>
          </w:p>
        </w:tc>
        <w:tc>
          <w:tcPr>
            <w:tcW w:type="dxa" w:w="465"/>
          </w:tcPr>
          <w:p>
            <w:pPr>
              <w:pStyle w:val="Compact"/>
              <w:spacing w:after="20"/>
              <w:jc w:val="left"/>
            </w:pPr>
            <w:r>
              <w:rPr>
                <w:sz w:val="18"/>
              </w:rPr>
              <w:t xml:space="preserve">24</w:t>
            </w:r>
          </w:p>
        </w:tc>
        <w:tc>
          <w:tcPr>
            <w:tcW w:type="dxa" w:w="465"/>
          </w:tcPr>
          <w:p>
            <w:pPr>
              <w:pStyle w:val="Compact"/>
              <w:spacing w:after="20"/>
              <w:jc w:val="left"/>
            </w:pPr>
            <w:r>
              <w:rPr>
                <w:sz w:val="18"/>
              </w:rPr>
              <w:t xml:space="preserve">48</w:t>
            </w:r>
          </w:p>
        </w:tc>
        <w:tc>
          <w:tcPr>
            <w:tcW w:type="dxa" w:w="465"/>
          </w:tcPr>
          <w:p>
            <w:pPr>
              <w:pStyle w:val="Compact"/>
              <w:spacing w:after="20"/>
              <w:jc w:val="left"/>
            </w:pPr>
            <w:r>
              <w:rPr>
                <w:sz w:val="18"/>
              </w:rPr>
              <w:t xml:space="preserve">43</w:t>
            </w:r>
          </w:p>
        </w:tc>
      </w:tr>
      <w:tr>
        <w:tc>
          <w:tcPr>
            <w:tcW w:type="dxa" w:w="3352"/>
          </w:tcPr>
          <w:p>
            <w:pPr>
              <w:pStyle w:val="Compact"/>
              <w:spacing w:after="20"/>
              <w:jc w:val="left"/>
            </w:pPr>
            <w:r>
              <w:rPr>
                <w:sz w:val="18"/>
              </w:rPr>
              <w:t xml:space="preserve">16</w:t>
            </w:r>
          </w:p>
        </w:tc>
        <w:tc>
          <w:tcPr>
            <w:tcW w:type="dxa" w:w="465"/>
          </w:tcPr>
          <w:p>
            <w:pPr>
              <w:pStyle w:val="Compact"/>
              <w:spacing w:after="20"/>
              <w:jc w:val="left"/>
            </w:pPr>
            <w:r>
              <w:rPr>
                <w:bCs/>
                <w:b/>
                <w:sz w:val="18"/>
              </w:rPr>
              <w:t xml:space="preserve">Cauca</w:t>
            </w:r>
          </w:p>
        </w:tc>
        <w:tc>
          <w:tcPr>
            <w:tcW w:type="dxa" w:w="465"/>
          </w:tcPr>
          <w:p>
            <w:pPr>
              <w:pStyle w:val="Compact"/>
              <w:spacing w:after="20"/>
              <w:jc w:val="left"/>
            </w:pPr>
            <w:r>
              <w:rPr>
                <w:sz w:val="18"/>
              </w:rPr>
              <w:t xml:space="preserve">1.613.329</w:t>
            </w:r>
          </w:p>
        </w:tc>
        <w:tc>
          <w:tcPr>
            <w:tcW w:type="dxa" w:w="465"/>
          </w:tcPr>
          <w:p>
            <w:pPr>
              <w:pStyle w:val="Compact"/>
              <w:spacing w:after="20"/>
              <w:jc w:val="left"/>
            </w:pPr>
            <w:r>
              <w:rPr>
                <w:sz w:val="18"/>
              </w:rPr>
              <w:t xml:space="preserve">42</w:t>
            </w:r>
          </w:p>
        </w:tc>
        <w:tc>
          <w:tcPr>
            <w:tcW w:type="dxa" w:w="465"/>
          </w:tcPr>
          <w:p>
            <w:pPr>
              <w:pStyle w:val="Compact"/>
              <w:spacing w:after="20"/>
              <w:jc w:val="left"/>
            </w:pPr>
            <w:r>
              <w:rPr>
                <w:sz w:val="18"/>
              </w:rPr>
              <w:t xml:space="preserve">46</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13,4 %</w:t>
            </w:r>
          </w:p>
        </w:tc>
        <w:tc>
          <w:tcPr>
            <w:tcW w:type="dxa" w:w="465"/>
          </w:tcPr>
          <w:p>
            <w:pPr>
              <w:pStyle w:val="Compact"/>
              <w:spacing w:after="20"/>
              <w:jc w:val="left"/>
            </w:pPr>
            <w:r>
              <w:rPr>
                <w:sz w:val="18"/>
              </w:rPr>
              <w:t xml:space="preserve">92</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51</w:t>
            </w:r>
          </w:p>
        </w:tc>
        <w:tc>
          <w:tcPr>
            <w:tcW w:type="dxa" w:w="465"/>
          </w:tcPr>
          <w:p>
            <w:pPr>
              <w:pStyle w:val="Compact"/>
              <w:spacing w:after="20"/>
              <w:jc w:val="left"/>
            </w:pPr>
            <w:r>
              <w:rPr>
                <w:sz w:val="18"/>
              </w:rPr>
              <w:t xml:space="preserve">38</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58</w:t>
            </w:r>
          </w:p>
        </w:tc>
        <w:tc>
          <w:tcPr>
            <w:tcW w:type="dxa" w:w="465"/>
          </w:tcPr>
          <w:p>
            <w:pPr>
              <w:pStyle w:val="Compact"/>
              <w:spacing w:after="20"/>
              <w:jc w:val="left"/>
            </w:pPr>
            <w:r>
              <w:rPr>
                <w:sz w:val="18"/>
              </w:rPr>
              <w:t xml:space="preserve">32</w:t>
            </w:r>
          </w:p>
        </w:tc>
      </w:tr>
      <w:tr>
        <w:tc>
          <w:tcPr>
            <w:tcW w:type="dxa" w:w="3352"/>
          </w:tcPr>
          <w:p>
            <w:pPr>
              <w:pStyle w:val="Compact"/>
              <w:spacing w:after="20"/>
              <w:jc w:val="left"/>
            </w:pPr>
            <w:r>
              <w:rPr>
                <w:sz w:val="18"/>
              </w:rPr>
              <w:t xml:space="preserve">17</w:t>
            </w:r>
          </w:p>
        </w:tc>
        <w:tc>
          <w:tcPr>
            <w:tcW w:type="dxa" w:w="465"/>
          </w:tcPr>
          <w:p>
            <w:pPr>
              <w:pStyle w:val="Compact"/>
              <w:spacing w:after="20"/>
              <w:jc w:val="left"/>
            </w:pPr>
            <w:r>
              <w:rPr>
                <w:bCs/>
                <w:b/>
                <w:sz w:val="18"/>
              </w:rPr>
              <w:t xml:space="preserve">Nariño</w:t>
            </w:r>
          </w:p>
        </w:tc>
        <w:tc>
          <w:tcPr>
            <w:tcW w:type="dxa" w:w="465"/>
          </w:tcPr>
          <w:p>
            <w:pPr>
              <w:pStyle w:val="Compact"/>
              <w:spacing w:after="20"/>
              <w:jc w:val="left"/>
            </w:pPr>
            <w:r>
              <w:rPr>
                <w:sz w:val="18"/>
              </w:rPr>
              <w:t xml:space="preserve">1.721.735</w:t>
            </w:r>
          </w:p>
        </w:tc>
        <w:tc>
          <w:tcPr>
            <w:tcW w:type="dxa" w:w="465"/>
          </w:tcPr>
          <w:p>
            <w:pPr>
              <w:pStyle w:val="Compact"/>
              <w:spacing w:after="20"/>
              <w:jc w:val="left"/>
            </w:pPr>
            <w:r>
              <w:rPr>
                <w:sz w:val="18"/>
              </w:rPr>
              <w:t xml:space="preserve">64</w:t>
            </w:r>
          </w:p>
        </w:tc>
        <w:tc>
          <w:tcPr>
            <w:tcW w:type="dxa" w:w="465"/>
          </w:tcPr>
          <w:p>
            <w:pPr>
              <w:pStyle w:val="Compact"/>
              <w:spacing w:after="20"/>
              <w:jc w:val="left"/>
            </w:pPr>
            <w:r>
              <w:rPr>
                <w:sz w:val="18"/>
              </w:rPr>
              <w:t xml:space="preserve">41</w:t>
            </w:r>
          </w:p>
        </w:tc>
        <w:tc>
          <w:tcPr>
            <w:tcW w:type="dxa" w:w="465"/>
          </w:tcPr>
          <w:p>
            <w:pPr>
              <w:pStyle w:val="Compact"/>
              <w:spacing w:after="20"/>
              <w:jc w:val="left"/>
            </w:pPr>
            <w:r>
              <w:rPr>
                <w:sz w:val="18"/>
              </w:rPr>
              <w:t xml:space="preserve">12</w:t>
            </w:r>
          </w:p>
        </w:tc>
        <w:tc>
          <w:tcPr>
            <w:tcW w:type="dxa" w:w="465"/>
          </w:tcPr>
          <w:p>
            <w:pPr>
              <w:pStyle w:val="Compact"/>
              <w:spacing w:after="20"/>
              <w:jc w:val="left"/>
            </w:pPr>
            <w:r>
              <w:rPr>
                <w:sz w:val="18"/>
              </w:rPr>
              <w:t xml:space="preserve">30,1 %</w:t>
            </w:r>
          </w:p>
        </w:tc>
        <w:tc>
          <w:tcPr>
            <w:tcW w:type="dxa" w:w="465"/>
          </w:tcPr>
          <w:p>
            <w:pPr>
              <w:pStyle w:val="Compact"/>
              <w:spacing w:after="20"/>
              <w:jc w:val="left"/>
            </w:pPr>
            <w:r>
              <w:rPr>
                <w:sz w:val="18"/>
              </w:rPr>
              <w:t xml:space="preserve">92</w:t>
            </w:r>
          </w:p>
        </w:tc>
        <w:tc>
          <w:tcPr>
            <w:tcW w:type="dxa" w:w="465"/>
          </w:tcPr>
          <w:p>
            <w:pPr>
              <w:pStyle w:val="Compact"/>
              <w:spacing w:after="20"/>
              <w:jc w:val="left"/>
            </w:pPr>
            <w:r>
              <w:rPr>
                <w:sz w:val="18"/>
              </w:rPr>
              <w:t xml:space="preserve">47</w:t>
            </w:r>
          </w:p>
        </w:tc>
        <w:tc>
          <w:tcPr>
            <w:tcW w:type="dxa" w:w="465"/>
          </w:tcPr>
          <w:p>
            <w:pPr>
              <w:pStyle w:val="Compact"/>
              <w:spacing w:after="20"/>
              <w:jc w:val="left"/>
            </w:pPr>
            <w:r>
              <w:rPr>
                <w:sz w:val="18"/>
              </w:rPr>
              <w:t xml:space="preserve">52</w:t>
            </w:r>
          </w:p>
        </w:tc>
        <w:tc>
          <w:tcPr>
            <w:tcW w:type="dxa" w:w="465"/>
          </w:tcPr>
          <w:p>
            <w:pPr>
              <w:pStyle w:val="Compact"/>
              <w:spacing w:after="20"/>
              <w:jc w:val="left"/>
            </w:pPr>
            <w:r>
              <w:rPr>
                <w:sz w:val="18"/>
              </w:rPr>
              <w:t xml:space="preserve">46</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49</w:t>
            </w:r>
          </w:p>
        </w:tc>
        <w:tc>
          <w:tcPr>
            <w:tcW w:type="dxa" w:w="465"/>
          </w:tcPr>
          <w:p>
            <w:pPr>
              <w:pStyle w:val="Compact"/>
              <w:spacing w:after="20"/>
              <w:jc w:val="left"/>
            </w:pPr>
            <w:r>
              <w:rPr>
                <w:sz w:val="18"/>
              </w:rPr>
              <w:t xml:space="preserve">38</w:t>
            </w:r>
          </w:p>
        </w:tc>
        <w:tc>
          <w:tcPr>
            <w:tcW w:type="dxa" w:w="465"/>
          </w:tcPr>
          <w:p>
            <w:pPr>
              <w:pStyle w:val="Compact"/>
              <w:spacing w:after="20"/>
              <w:jc w:val="left"/>
            </w:pPr>
            <w:r>
              <w:rPr>
                <w:sz w:val="18"/>
              </w:rPr>
              <w:t xml:space="preserve">27</w:t>
            </w:r>
          </w:p>
        </w:tc>
      </w:tr>
      <w:tr>
        <w:tc>
          <w:tcPr>
            <w:tcW w:type="dxa" w:w="3352"/>
          </w:tcPr>
          <w:p>
            <w:pPr>
              <w:pStyle w:val="Compact"/>
              <w:spacing w:after="20"/>
              <w:jc w:val="left"/>
            </w:pPr>
            <w:r>
              <w:rPr>
                <w:sz w:val="18"/>
              </w:rPr>
              <w:t xml:space="preserve">18</w:t>
            </w:r>
          </w:p>
        </w:tc>
        <w:tc>
          <w:tcPr>
            <w:tcW w:type="dxa" w:w="465"/>
          </w:tcPr>
          <w:p>
            <w:pPr>
              <w:pStyle w:val="Compact"/>
              <w:spacing w:after="20"/>
              <w:jc w:val="left"/>
            </w:pPr>
            <w:r>
              <w:rPr>
                <w:bCs/>
                <w:b/>
                <w:sz w:val="18"/>
              </w:rPr>
              <w:t xml:space="preserve">Norte de Santander</w:t>
            </w:r>
          </w:p>
        </w:tc>
        <w:tc>
          <w:tcPr>
            <w:tcW w:type="dxa" w:w="465"/>
          </w:tcPr>
          <w:p>
            <w:pPr>
              <w:pStyle w:val="Compact"/>
              <w:spacing w:after="20"/>
              <w:jc w:val="left"/>
            </w:pPr>
            <w:r>
              <w:rPr>
                <w:sz w:val="18"/>
              </w:rPr>
              <w:t xml:space="preserve">1.717.792</w:t>
            </w:r>
          </w:p>
        </w:tc>
        <w:tc>
          <w:tcPr>
            <w:tcW w:type="dxa" w:w="465"/>
          </w:tcPr>
          <w:p>
            <w:pPr>
              <w:pStyle w:val="Compact"/>
              <w:spacing w:after="20"/>
              <w:jc w:val="left"/>
            </w:pPr>
            <w:r>
              <w:rPr>
                <w:sz w:val="18"/>
              </w:rPr>
              <w:t xml:space="preserve">40</w:t>
            </w:r>
          </w:p>
        </w:tc>
        <w:tc>
          <w:tcPr>
            <w:tcW w:type="dxa" w:w="465"/>
          </w:tcPr>
          <w:p>
            <w:pPr>
              <w:pStyle w:val="Compact"/>
              <w:spacing w:after="20"/>
              <w:jc w:val="left"/>
            </w:pPr>
            <w:r>
              <w:rPr>
                <w:sz w:val="18"/>
              </w:rPr>
              <w:t xml:space="preserve">40</w:t>
            </w:r>
          </w:p>
        </w:tc>
        <w:tc>
          <w:tcPr>
            <w:tcW w:type="dxa" w:w="465"/>
          </w:tcPr>
          <w:p>
            <w:pPr>
              <w:pStyle w:val="Compact"/>
              <w:spacing w:after="20"/>
              <w:jc w:val="left"/>
            </w:pPr>
            <w:r>
              <w:rPr>
                <w:sz w:val="18"/>
              </w:rPr>
              <w:t xml:space="preserve">11</w:t>
            </w:r>
          </w:p>
        </w:tc>
        <w:tc>
          <w:tcPr>
            <w:tcW w:type="dxa" w:w="465"/>
          </w:tcPr>
          <w:p>
            <w:pPr>
              <w:pStyle w:val="Compact"/>
              <w:spacing w:after="20"/>
              <w:jc w:val="left"/>
            </w:pPr>
            <w:r>
              <w:rPr>
                <w:sz w:val="18"/>
              </w:rPr>
              <w:t xml:space="preserve">13,3 %</w:t>
            </w:r>
          </w:p>
        </w:tc>
        <w:tc>
          <w:tcPr>
            <w:tcW w:type="dxa" w:w="465"/>
          </w:tcPr>
          <w:p>
            <w:pPr>
              <w:pStyle w:val="Compact"/>
              <w:spacing w:after="20"/>
              <w:jc w:val="left"/>
            </w:pPr>
            <w:r>
              <w:rPr>
                <w:sz w:val="18"/>
              </w:rPr>
              <w:t xml:space="preserve">81</w:t>
            </w:r>
          </w:p>
        </w:tc>
        <w:tc>
          <w:tcPr>
            <w:tcW w:type="dxa" w:w="465"/>
          </w:tcPr>
          <w:p>
            <w:pPr>
              <w:pStyle w:val="Compact"/>
              <w:spacing w:after="20"/>
              <w:jc w:val="left"/>
            </w:pPr>
            <w:r>
              <w:rPr>
                <w:sz w:val="18"/>
              </w:rPr>
              <w:t xml:space="preserve">72</w:t>
            </w:r>
          </w:p>
        </w:tc>
        <w:tc>
          <w:tcPr>
            <w:tcW w:type="dxa" w:w="465"/>
          </w:tcPr>
          <w:p>
            <w:pPr>
              <w:pStyle w:val="Compact"/>
              <w:spacing w:after="20"/>
              <w:jc w:val="left"/>
            </w:pPr>
            <w:r>
              <w:rPr>
                <w:sz w:val="18"/>
              </w:rPr>
              <w:t xml:space="preserve">32</w:t>
            </w:r>
          </w:p>
        </w:tc>
        <w:tc>
          <w:tcPr>
            <w:tcW w:type="dxa" w:w="465"/>
          </w:tcPr>
          <w:p>
            <w:pPr>
              <w:pStyle w:val="Compact"/>
              <w:spacing w:after="20"/>
              <w:jc w:val="left"/>
            </w:pPr>
            <w:r>
              <w:rPr>
                <w:sz w:val="18"/>
              </w:rPr>
              <w:t xml:space="preserve">40</w:t>
            </w:r>
          </w:p>
        </w:tc>
        <w:tc>
          <w:tcPr>
            <w:tcW w:type="dxa" w:w="465"/>
          </w:tcPr>
          <w:p>
            <w:pPr>
              <w:pStyle w:val="Compact"/>
              <w:spacing w:after="20"/>
              <w:jc w:val="left"/>
            </w:pPr>
            <w:r>
              <w:rPr>
                <w:sz w:val="18"/>
              </w:rPr>
              <w:t xml:space="preserve">37</w:t>
            </w:r>
          </w:p>
        </w:tc>
        <w:tc>
          <w:tcPr>
            <w:tcW w:type="dxa" w:w="465"/>
          </w:tcPr>
          <w:p>
            <w:pPr>
              <w:pStyle w:val="Compact"/>
              <w:spacing w:after="20"/>
              <w:jc w:val="left"/>
            </w:pPr>
            <w:r>
              <w:rPr>
                <w:sz w:val="18"/>
              </w:rPr>
              <w:t xml:space="preserve">37</w:t>
            </w:r>
          </w:p>
        </w:tc>
        <w:tc>
          <w:tcPr>
            <w:tcW w:type="dxa" w:w="465"/>
          </w:tcPr>
          <w:p>
            <w:pPr>
              <w:pStyle w:val="Compact"/>
              <w:spacing w:after="20"/>
              <w:jc w:val="left"/>
            </w:pPr>
            <w:r>
              <w:rPr>
                <w:sz w:val="18"/>
              </w:rPr>
              <w:t xml:space="preserve">59</w:t>
            </w:r>
          </w:p>
        </w:tc>
        <w:tc>
          <w:tcPr>
            <w:tcW w:type="dxa" w:w="465"/>
          </w:tcPr>
          <w:p>
            <w:pPr>
              <w:pStyle w:val="Compact"/>
              <w:spacing w:after="20"/>
              <w:jc w:val="left"/>
            </w:pPr>
            <w:r>
              <w:rPr>
                <w:sz w:val="18"/>
              </w:rPr>
              <w:t xml:space="preserve">15</w:t>
            </w:r>
          </w:p>
        </w:tc>
      </w:tr>
      <w:tr>
        <w:tc>
          <w:tcPr>
            <w:tcW w:type="dxa" w:w="3352"/>
          </w:tcPr>
          <w:p>
            <w:pPr>
              <w:pStyle w:val="Compact"/>
              <w:spacing w:after="20"/>
              <w:jc w:val="left"/>
            </w:pPr>
            <w:r>
              <w:rPr>
                <w:sz w:val="18"/>
              </w:rPr>
              <w:t xml:space="preserve">19</w:t>
            </w:r>
          </w:p>
        </w:tc>
        <w:tc>
          <w:tcPr>
            <w:tcW w:type="dxa" w:w="465"/>
          </w:tcPr>
          <w:p>
            <w:pPr>
              <w:pStyle w:val="Compact"/>
              <w:spacing w:after="20"/>
              <w:jc w:val="left"/>
            </w:pPr>
            <w:r>
              <w:rPr>
                <w:bCs/>
                <w:b/>
                <w:sz w:val="18"/>
              </w:rPr>
              <w:t xml:space="preserve">Huila</w:t>
            </w:r>
          </w:p>
        </w:tc>
        <w:tc>
          <w:tcPr>
            <w:tcW w:type="dxa" w:w="465"/>
          </w:tcPr>
          <w:p>
            <w:pPr>
              <w:pStyle w:val="Compact"/>
              <w:spacing w:after="20"/>
              <w:jc w:val="left"/>
            </w:pPr>
            <w:r>
              <w:rPr>
                <w:sz w:val="18"/>
              </w:rPr>
              <w:t xml:space="preserve">1.221.847</w:t>
            </w:r>
          </w:p>
        </w:tc>
        <w:tc>
          <w:tcPr>
            <w:tcW w:type="dxa" w:w="465"/>
          </w:tcPr>
          <w:p>
            <w:pPr>
              <w:pStyle w:val="Compact"/>
              <w:spacing w:after="20"/>
              <w:jc w:val="left"/>
            </w:pPr>
            <w:r>
              <w:rPr>
                <w:sz w:val="18"/>
              </w:rPr>
              <w:t xml:space="preserve">37</w:t>
            </w:r>
          </w:p>
        </w:tc>
        <w:tc>
          <w:tcPr>
            <w:tcW w:type="dxa" w:w="465"/>
          </w:tcPr>
          <w:p>
            <w:pPr>
              <w:pStyle w:val="Compact"/>
              <w:spacing w:after="20"/>
              <w:jc w:val="left"/>
            </w:pPr>
            <w:r>
              <w:rPr>
                <w:sz w:val="18"/>
              </w:rPr>
              <w:t xml:space="preserve">36</w:t>
            </w:r>
          </w:p>
        </w:tc>
        <w:tc>
          <w:tcPr>
            <w:tcW w:type="dxa" w:w="465"/>
          </w:tcPr>
          <w:p>
            <w:pPr>
              <w:pStyle w:val="Compact"/>
              <w:spacing w:after="20"/>
              <w:jc w:val="left"/>
            </w:pPr>
            <w:r>
              <w:rPr>
                <w:sz w:val="18"/>
              </w:rPr>
              <w:t xml:space="preserve">1</w:t>
            </w:r>
          </w:p>
        </w:tc>
        <w:tc>
          <w:tcPr>
            <w:tcW w:type="dxa" w:w="465"/>
          </w:tcPr>
          <w:p>
            <w:pPr>
              <w:pStyle w:val="Compact"/>
              <w:spacing w:after="20"/>
              <w:jc w:val="left"/>
            </w:pPr>
            <w:r>
              <w:rPr>
                <w:sz w:val="18"/>
              </w:rPr>
              <w:t xml:space="preserve">0,8 %</w:t>
            </w:r>
          </w:p>
        </w:tc>
        <w:tc>
          <w:tcPr>
            <w:tcW w:type="dxa" w:w="465"/>
          </w:tcPr>
          <w:p>
            <w:pPr>
              <w:pStyle w:val="Compact"/>
              <w:spacing w:after="20"/>
              <w:jc w:val="left"/>
            </w:pPr>
            <w:r>
              <w:rPr>
                <w:sz w:val="18"/>
              </w:rPr>
              <w:t xml:space="preserve">72</w:t>
            </w:r>
          </w:p>
        </w:tc>
        <w:tc>
          <w:tcPr>
            <w:tcW w:type="dxa" w:w="465"/>
          </w:tcPr>
          <w:p>
            <w:pPr>
              <w:pStyle w:val="Compact"/>
              <w:spacing w:after="20"/>
              <w:jc w:val="left"/>
            </w:pPr>
            <w:r>
              <w:rPr>
                <w:sz w:val="18"/>
              </w:rPr>
              <w:t xml:space="preserve">84</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35</w:t>
            </w:r>
          </w:p>
        </w:tc>
        <w:tc>
          <w:tcPr>
            <w:tcW w:type="dxa" w:w="465"/>
          </w:tcPr>
          <w:p>
            <w:pPr>
              <w:pStyle w:val="Compact"/>
              <w:spacing w:after="20"/>
              <w:jc w:val="left"/>
            </w:pPr>
            <w:r>
              <w:rPr>
                <w:sz w:val="18"/>
              </w:rPr>
              <w:t xml:space="preserve">32</w:t>
            </w:r>
          </w:p>
        </w:tc>
        <w:tc>
          <w:tcPr>
            <w:tcW w:type="dxa" w:w="465"/>
          </w:tcPr>
          <w:p>
            <w:pPr>
              <w:pStyle w:val="Compact"/>
              <w:spacing w:after="20"/>
              <w:jc w:val="left"/>
            </w:pPr>
            <w:r>
              <w:rPr>
                <w:sz w:val="18"/>
              </w:rPr>
              <w:t xml:space="preserve">26</w:t>
            </w:r>
          </w:p>
        </w:tc>
        <w:tc>
          <w:tcPr>
            <w:tcW w:type="dxa" w:w="465"/>
          </w:tcPr>
          <w:p>
            <w:pPr>
              <w:pStyle w:val="Compact"/>
              <w:spacing w:after="20"/>
              <w:jc w:val="left"/>
            </w:pPr>
            <w:r>
              <w:rPr>
                <w:sz w:val="18"/>
              </w:rPr>
              <w:t xml:space="preserve">46</w:t>
            </w:r>
          </w:p>
        </w:tc>
      </w:tr>
      <w:tr>
        <w:tc>
          <w:tcPr>
            <w:tcW w:type="dxa" w:w="3352"/>
          </w:tcPr>
          <w:p>
            <w:pPr>
              <w:pStyle w:val="Compact"/>
              <w:spacing w:after="20"/>
              <w:jc w:val="left"/>
            </w:pPr>
            <w:r>
              <w:rPr>
                <w:sz w:val="18"/>
              </w:rPr>
              <w:t xml:space="preserve">20</w:t>
            </w:r>
          </w:p>
        </w:tc>
        <w:tc>
          <w:tcPr>
            <w:tcW w:type="dxa" w:w="465"/>
          </w:tcPr>
          <w:p>
            <w:pPr>
              <w:pStyle w:val="Compact"/>
              <w:spacing w:after="20"/>
              <w:jc w:val="left"/>
            </w:pPr>
            <w:r>
              <w:rPr>
                <w:bCs/>
                <w:b/>
                <w:sz w:val="18"/>
              </w:rPr>
              <w:t xml:space="preserve">Casanare</w:t>
            </w:r>
          </w:p>
        </w:tc>
        <w:tc>
          <w:tcPr>
            <w:tcW w:type="dxa" w:w="465"/>
          </w:tcPr>
          <w:p>
            <w:pPr>
              <w:pStyle w:val="Compact"/>
              <w:spacing w:after="20"/>
              <w:jc w:val="left"/>
            </w:pPr>
            <w:r>
              <w:rPr>
                <w:sz w:val="18"/>
              </w:rPr>
              <w:t xml:space="preserve">477.966</w:t>
            </w:r>
          </w:p>
        </w:tc>
        <w:tc>
          <w:tcPr>
            <w:tcW w:type="dxa" w:w="465"/>
          </w:tcPr>
          <w:p>
            <w:pPr>
              <w:pStyle w:val="Compact"/>
              <w:spacing w:after="20"/>
              <w:jc w:val="left"/>
            </w:pPr>
            <w:r>
              <w:rPr>
                <w:sz w:val="18"/>
              </w:rPr>
              <w:t xml:space="preserve">19</w:t>
            </w:r>
          </w:p>
        </w:tc>
        <w:tc>
          <w:tcPr>
            <w:tcW w:type="dxa" w:w="465"/>
          </w:tcPr>
          <w:p>
            <w:pPr>
              <w:pStyle w:val="Compact"/>
              <w:spacing w:after="20"/>
              <w:jc w:val="left"/>
            </w:pPr>
            <w:r>
              <w:rPr>
                <w:sz w:val="18"/>
              </w:rPr>
              <w:t xml:space="preserve">32</w:t>
            </w:r>
          </w:p>
        </w:tc>
        <w:tc>
          <w:tcPr>
            <w:tcW w:type="dxa" w:w="465"/>
          </w:tcPr>
          <w:p>
            <w:pPr>
              <w:pStyle w:val="Compact"/>
              <w:spacing w:after="20"/>
              <w:jc w:val="left"/>
            </w:pPr>
            <w:r>
              <w:rPr>
                <w:sz w:val="18"/>
              </w:rPr>
              <w:t xml:space="preserve">3</w:t>
            </w:r>
          </w:p>
        </w:tc>
        <w:tc>
          <w:tcPr>
            <w:tcW w:type="dxa" w:w="465"/>
          </w:tcPr>
          <w:p>
            <w:pPr>
              <w:pStyle w:val="Compact"/>
              <w:spacing w:after="20"/>
              <w:jc w:val="left"/>
            </w:pPr>
            <w:r>
              <w:rPr>
                <w:sz w:val="18"/>
              </w:rPr>
              <w:t xml:space="preserve">4,7 %</w:t>
            </w:r>
          </w:p>
        </w:tc>
        <w:tc>
          <w:tcPr>
            <w:tcW w:type="dxa" w:w="465"/>
          </w:tcPr>
          <w:p>
            <w:pPr>
              <w:pStyle w:val="Compact"/>
              <w:spacing w:after="20"/>
              <w:jc w:val="left"/>
            </w:pPr>
            <w:r>
              <w:rPr>
                <w:sz w:val="18"/>
              </w:rPr>
              <w:t xml:space="preserve">82</w:t>
            </w:r>
          </w:p>
        </w:tc>
        <w:tc>
          <w:tcPr>
            <w:tcW w:type="dxa" w:w="465"/>
          </w:tcPr>
          <w:p>
            <w:pPr>
              <w:pStyle w:val="Compact"/>
              <w:spacing w:after="20"/>
              <w:jc w:val="left"/>
            </w:pPr>
            <w:r>
              <w:rPr>
                <w:sz w:val="18"/>
              </w:rPr>
              <w:t xml:space="preserve">75</w:t>
            </w:r>
          </w:p>
        </w:tc>
        <w:tc>
          <w:tcPr>
            <w:tcW w:type="dxa" w:w="465"/>
          </w:tcPr>
          <w:p>
            <w:pPr>
              <w:pStyle w:val="Compact"/>
              <w:spacing w:after="20"/>
              <w:jc w:val="left"/>
            </w:pPr>
            <w:r>
              <w:rPr>
                <w:sz w:val="18"/>
              </w:rPr>
              <w:t xml:space="preserve">32</w:t>
            </w:r>
          </w:p>
        </w:tc>
        <w:tc>
          <w:tcPr>
            <w:tcW w:type="dxa" w:w="465"/>
          </w:tcPr>
          <w:p>
            <w:pPr>
              <w:pStyle w:val="Compact"/>
              <w:spacing w:after="20"/>
              <w:jc w:val="left"/>
            </w:pPr>
            <w:r>
              <w:rPr>
                <w:sz w:val="18"/>
              </w:rPr>
              <w:t xml:space="preserve">31</w:t>
            </w:r>
          </w:p>
        </w:tc>
        <w:tc>
          <w:tcPr>
            <w:tcW w:type="dxa" w:w="465"/>
          </w:tcPr>
          <w:p>
            <w:pPr>
              <w:pStyle w:val="Compact"/>
              <w:spacing w:after="20"/>
              <w:jc w:val="left"/>
            </w:pPr>
            <w:r>
              <w:rPr>
                <w:sz w:val="18"/>
              </w:rPr>
              <w:t xml:space="preserve">45</w:t>
            </w:r>
          </w:p>
        </w:tc>
        <w:tc>
          <w:tcPr>
            <w:tcW w:type="dxa" w:w="465"/>
          </w:tcPr>
          <w:p>
            <w:pPr>
              <w:pStyle w:val="Compact"/>
              <w:spacing w:after="20"/>
              <w:jc w:val="left"/>
            </w:pPr>
            <w:r>
              <w:rPr>
                <w:sz w:val="18"/>
              </w:rPr>
              <w:t xml:space="preserve">25</w:t>
            </w:r>
          </w:p>
        </w:tc>
        <w:tc>
          <w:tcPr>
            <w:tcW w:type="dxa" w:w="465"/>
          </w:tcPr>
          <w:p>
            <w:pPr>
              <w:pStyle w:val="Compact"/>
              <w:spacing w:after="20"/>
              <w:jc w:val="left"/>
            </w:pPr>
            <w:r>
              <w:rPr>
                <w:sz w:val="18"/>
              </w:rPr>
              <w:t xml:space="preserve">38</w:t>
            </w:r>
          </w:p>
        </w:tc>
        <w:tc>
          <w:tcPr>
            <w:tcW w:type="dxa" w:w="465"/>
          </w:tcPr>
          <w:p>
            <w:pPr>
              <w:pStyle w:val="Compact"/>
              <w:spacing w:after="20"/>
              <w:jc w:val="left"/>
            </w:pPr>
            <w:r>
              <w:rPr>
                <w:sz w:val="18"/>
              </w:rPr>
              <w:t xml:space="preserve">19</w:t>
            </w:r>
          </w:p>
        </w:tc>
      </w:tr>
      <w:tr>
        <w:tc>
          <w:tcPr>
            <w:tcW w:type="dxa" w:w="3352"/>
          </w:tcPr>
          <w:p>
            <w:pPr>
              <w:pStyle w:val="Compact"/>
              <w:spacing w:after="20"/>
              <w:jc w:val="left"/>
            </w:pPr>
            <w:r>
              <w:rPr>
                <w:sz w:val="18"/>
              </w:rPr>
              <w:t xml:space="preserve">21</w:t>
            </w:r>
          </w:p>
        </w:tc>
        <w:tc>
          <w:tcPr>
            <w:tcW w:type="dxa" w:w="465"/>
          </w:tcPr>
          <w:p>
            <w:pPr>
              <w:pStyle w:val="Compact"/>
              <w:spacing w:after="20"/>
              <w:jc w:val="left"/>
            </w:pPr>
            <w:r>
              <w:rPr>
                <w:bCs/>
                <w:b/>
                <w:sz w:val="18"/>
              </w:rPr>
              <w:t xml:space="preserve">Meta</w:t>
            </w:r>
          </w:p>
        </w:tc>
        <w:tc>
          <w:tcPr>
            <w:tcW w:type="dxa" w:w="465"/>
          </w:tcPr>
          <w:p>
            <w:pPr>
              <w:pStyle w:val="Compact"/>
              <w:spacing w:after="20"/>
              <w:jc w:val="left"/>
            </w:pPr>
            <w:r>
              <w:rPr>
                <w:sz w:val="18"/>
              </w:rPr>
              <w:t xml:space="preserve">1.166.652</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31</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11,2 %</w:t>
            </w:r>
          </w:p>
        </w:tc>
        <w:tc>
          <w:tcPr>
            <w:tcW w:type="dxa" w:w="465"/>
          </w:tcPr>
          <w:p>
            <w:pPr>
              <w:pStyle w:val="Compact"/>
              <w:spacing w:after="20"/>
              <w:jc w:val="left"/>
            </w:pPr>
            <w:r>
              <w:rPr>
                <w:sz w:val="18"/>
              </w:rPr>
              <w:t xml:space="preserve">95</w:t>
            </w:r>
          </w:p>
        </w:tc>
        <w:tc>
          <w:tcPr>
            <w:tcW w:type="dxa" w:w="465"/>
          </w:tcPr>
          <w:p>
            <w:pPr>
              <w:pStyle w:val="Compact"/>
              <w:spacing w:after="20"/>
              <w:jc w:val="left"/>
            </w:pPr>
            <w:r>
              <w:rPr>
                <w:sz w:val="18"/>
              </w:rPr>
              <w:t xml:space="preserve">74</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48</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47</w:t>
            </w:r>
          </w:p>
        </w:tc>
        <w:tc>
          <w:tcPr>
            <w:tcW w:type="dxa" w:w="465"/>
          </w:tcPr>
          <w:p>
            <w:pPr>
              <w:pStyle w:val="Compact"/>
              <w:spacing w:after="20"/>
              <w:jc w:val="left"/>
            </w:pPr>
            <w:r>
              <w:rPr>
                <w:sz w:val="18"/>
              </w:rPr>
              <w:t xml:space="preserve">16</w:t>
            </w:r>
          </w:p>
        </w:tc>
      </w:tr>
      <w:tr>
        <w:tc>
          <w:tcPr>
            <w:tcW w:type="dxa" w:w="3352"/>
          </w:tcPr>
          <w:p>
            <w:pPr>
              <w:pStyle w:val="Compact"/>
              <w:spacing w:after="20"/>
              <w:jc w:val="left"/>
            </w:pPr>
            <w:r>
              <w:rPr>
                <w:sz w:val="18"/>
              </w:rPr>
              <w:t xml:space="preserve">22</w:t>
            </w:r>
          </w:p>
        </w:tc>
        <w:tc>
          <w:tcPr>
            <w:tcW w:type="dxa" w:w="465"/>
          </w:tcPr>
          <w:p>
            <w:pPr>
              <w:pStyle w:val="Compact"/>
              <w:spacing w:after="20"/>
              <w:jc w:val="left"/>
            </w:pPr>
            <w:r>
              <w:rPr>
                <w:bCs/>
                <w:b/>
                <w:sz w:val="18"/>
              </w:rPr>
              <w:t xml:space="preserve">Atlántico</w:t>
            </w:r>
          </w:p>
        </w:tc>
        <w:tc>
          <w:tcPr>
            <w:tcW w:type="dxa" w:w="465"/>
          </w:tcPr>
          <w:p>
            <w:pPr>
              <w:pStyle w:val="Compact"/>
              <w:spacing w:after="20"/>
              <w:jc w:val="left"/>
            </w:pPr>
            <w:r>
              <w:rPr>
                <w:sz w:val="18"/>
              </w:rPr>
              <w:t xml:space="preserve">2.885.904</w:t>
            </w:r>
          </w:p>
        </w:tc>
        <w:tc>
          <w:tcPr>
            <w:tcW w:type="dxa" w:w="465"/>
          </w:tcPr>
          <w:p>
            <w:pPr>
              <w:pStyle w:val="Compact"/>
              <w:spacing w:after="20"/>
              <w:jc w:val="left"/>
            </w:pPr>
            <w:r>
              <w:rPr>
                <w:sz w:val="18"/>
              </w:rPr>
              <w:t xml:space="preserve">23</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1</w:t>
            </w:r>
          </w:p>
        </w:tc>
        <w:tc>
          <w:tcPr>
            <w:tcW w:type="dxa" w:w="465"/>
          </w:tcPr>
          <w:p>
            <w:pPr>
              <w:pStyle w:val="Compact"/>
              <w:spacing w:after="20"/>
              <w:jc w:val="left"/>
            </w:pPr>
            <w:r>
              <w:rPr>
                <w:sz w:val="18"/>
              </w:rPr>
              <w:t xml:space="preserve">1,0 %</w:t>
            </w:r>
          </w:p>
        </w:tc>
        <w:tc>
          <w:tcPr>
            <w:tcW w:type="dxa" w:w="465"/>
          </w:tcPr>
          <w:p>
            <w:pPr>
              <w:pStyle w:val="Compact"/>
              <w:spacing w:after="20"/>
              <w:jc w:val="left"/>
            </w:pPr>
            <w:r>
              <w:rPr>
                <w:sz w:val="18"/>
              </w:rPr>
              <w:t xml:space="preserve">80</w:t>
            </w:r>
          </w:p>
        </w:tc>
        <w:tc>
          <w:tcPr>
            <w:tcW w:type="dxa" w:w="465"/>
          </w:tcPr>
          <w:p>
            <w:pPr>
              <w:pStyle w:val="Compact"/>
              <w:spacing w:after="20"/>
              <w:jc w:val="left"/>
            </w:pPr>
            <w:r>
              <w:rPr>
                <w:sz w:val="18"/>
              </w:rPr>
              <w:t xml:space="preserve">74</w:t>
            </w:r>
          </w:p>
        </w:tc>
        <w:tc>
          <w:tcPr>
            <w:tcW w:type="dxa" w:w="465"/>
          </w:tcPr>
          <w:p>
            <w:pPr>
              <w:pStyle w:val="Compact"/>
              <w:spacing w:after="20"/>
              <w:jc w:val="left"/>
            </w:pPr>
            <w:r>
              <w:rPr>
                <w:sz w:val="18"/>
              </w:rPr>
              <w:t xml:space="preserve">64</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26</w:t>
            </w:r>
          </w:p>
        </w:tc>
        <w:tc>
          <w:tcPr>
            <w:tcW w:type="dxa" w:w="465"/>
          </w:tcPr>
          <w:p>
            <w:pPr>
              <w:pStyle w:val="Compact"/>
              <w:spacing w:after="20"/>
              <w:jc w:val="left"/>
            </w:pPr>
            <w:r>
              <w:rPr>
                <w:sz w:val="18"/>
              </w:rPr>
              <w:t xml:space="preserve">15</w:t>
            </w:r>
          </w:p>
        </w:tc>
        <w:tc>
          <w:tcPr>
            <w:tcW w:type="dxa" w:w="465"/>
          </w:tcPr>
          <w:p>
            <w:pPr>
              <w:pStyle w:val="Compact"/>
              <w:spacing w:after="20"/>
              <w:jc w:val="left"/>
            </w:pPr>
            <w:r>
              <w:rPr>
                <w:sz w:val="18"/>
              </w:rPr>
              <w:t xml:space="preserve">16</w:t>
            </w:r>
          </w:p>
        </w:tc>
      </w:tr>
      <w:tr>
        <w:tc>
          <w:tcPr>
            <w:tcW w:type="dxa" w:w="3352"/>
          </w:tcPr>
          <w:p>
            <w:pPr>
              <w:pStyle w:val="Compact"/>
              <w:spacing w:after="20"/>
              <w:jc w:val="left"/>
            </w:pPr>
            <w:r>
              <w:rPr>
                <w:sz w:val="18"/>
              </w:rPr>
              <w:t xml:space="preserve">23</w:t>
            </w:r>
          </w:p>
        </w:tc>
        <w:tc>
          <w:tcPr>
            <w:tcW w:type="dxa" w:w="465"/>
          </w:tcPr>
          <w:p>
            <w:pPr>
              <w:pStyle w:val="Compact"/>
              <w:spacing w:after="20"/>
              <w:jc w:val="left"/>
            </w:pPr>
            <w:r>
              <w:rPr>
                <w:bCs/>
                <w:b/>
                <w:sz w:val="18"/>
              </w:rPr>
              <w:t xml:space="preserve">Tolima</w:t>
            </w:r>
          </w:p>
        </w:tc>
        <w:tc>
          <w:tcPr>
            <w:tcW w:type="dxa" w:w="465"/>
          </w:tcPr>
          <w:p>
            <w:pPr>
              <w:pStyle w:val="Compact"/>
              <w:spacing w:after="20"/>
              <w:jc w:val="left"/>
            </w:pPr>
            <w:r>
              <w:rPr>
                <w:sz w:val="18"/>
              </w:rPr>
              <w:t xml:space="preserve">1.390.982</w:t>
            </w:r>
          </w:p>
        </w:tc>
        <w:tc>
          <w:tcPr>
            <w:tcW w:type="dxa" w:w="465"/>
          </w:tcPr>
          <w:p>
            <w:pPr>
              <w:pStyle w:val="Compact"/>
              <w:spacing w:after="20"/>
              <w:jc w:val="left"/>
            </w:pPr>
            <w:r>
              <w:rPr>
                <w:sz w:val="18"/>
              </w:rPr>
              <w:t xml:space="preserve">47</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5</w:t>
            </w:r>
          </w:p>
        </w:tc>
        <w:tc>
          <w:tcPr>
            <w:tcW w:type="dxa" w:w="465"/>
          </w:tcPr>
          <w:p>
            <w:pPr>
              <w:pStyle w:val="Compact"/>
              <w:spacing w:after="20"/>
              <w:jc w:val="left"/>
            </w:pPr>
            <w:r>
              <w:rPr>
                <w:sz w:val="18"/>
              </w:rPr>
              <w:t xml:space="preserve">6,1 %</w:t>
            </w:r>
          </w:p>
        </w:tc>
        <w:tc>
          <w:tcPr>
            <w:tcW w:type="dxa" w:w="465"/>
          </w:tcPr>
          <w:p>
            <w:pPr>
              <w:pStyle w:val="Compact"/>
              <w:spacing w:after="20"/>
              <w:jc w:val="left"/>
            </w:pPr>
            <w:r>
              <w:rPr>
                <w:sz w:val="18"/>
              </w:rPr>
              <w:t xml:space="preserve">86</w:t>
            </w:r>
          </w:p>
        </w:tc>
        <w:tc>
          <w:tcPr>
            <w:tcW w:type="dxa" w:w="465"/>
          </w:tcPr>
          <w:p>
            <w:pPr>
              <w:pStyle w:val="Compact"/>
              <w:spacing w:after="20"/>
              <w:jc w:val="left"/>
            </w:pPr>
            <w:r>
              <w:rPr>
                <w:sz w:val="18"/>
              </w:rPr>
              <w:t xml:space="preserve">67</w:t>
            </w:r>
          </w:p>
        </w:tc>
        <w:tc>
          <w:tcPr>
            <w:tcW w:type="dxa" w:w="465"/>
          </w:tcPr>
          <w:p>
            <w:pPr>
              <w:pStyle w:val="Compact"/>
              <w:spacing w:after="20"/>
              <w:jc w:val="left"/>
            </w:pPr>
            <w:r>
              <w:rPr>
                <w:sz w:val="18"/>
              </w:rPr>
              <w:t xml:space="preserve">28</w:t>
            </w:r>
          </w:p>
        </w:tc>
        <w:tc>
          <w:tcPr>
            <w:tcW w:type="dxa" w:w="465"/>
          </w:tcPr>
          <w:p>
            <w:pPr>
              <w:pStyle w:val="Compact"/>
              <w:spacing w:after="20"/>
              <w:jc w:val="left"/>
            </w:pPr>
            <w:r>
              <w:rPr>
                <w:sz w:val="18"/>
              </w:rPr>
              <w:t xml:space="preserve">28</w:t>
            </w:r>
          </w:p>
        </w:tc>
        <w:tc>
          <w:tcPr>
            <w:tcW w:type="dxa" w:w="465"/>
          </w:tcPr>
          <w:p>
            <w:pPr>
              <w:pStyle w:val="Compact"/>
              <w:spacing w:after="20"/>
              <w:jc w:val="left"/>
            </w:pPr>
            <w:r>
              <w:rPr>
                <w:sz w:val="18"/>
              </w:rPr>
              <w:t xml:space="preserve">48</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41</w:t>
            </w:r>
          </w:p>
        </w:tc>
      </w:tr>
      <w:tr>
        <w:tc>
          <w:tcPr>
            <w:tcW w:type="dxa" w:w="3352"/>
          </w:tcPr>
          <w:p>
            <w:pPr>
              <w:pStyle w:val="Compact"/>
              <w:spacing w:after="20"/>
              <w:jc w:val="left"/>
            </w:pPr>
            <w:r>
              <w:rPr>
                <w:sz w:val="18"/>
              </w:rPr>
              <w:t xml:space="preserve">24</w:t>
            </w:r>
          </w:p>
        </w:tc>
        <w:tc>
          <w:tcPr>
            <w:tcW w:type="dxa" w:w="465"/>
          </w:tcPr>
          <w:p>
            <w:pPr>
              <w:pStyle w:val="Compact"/>
              <w:spacing w:after="20"/>
              <w:jc w:val="left"/>
            </w:pPr>
            <w:r>
              <w:rPr>
                <w:bCs/>
                <w:b/>
                <w:sz w:val="18"/>
              </w:rPr>
              <w:t xml:space="preserve">Valle del Cauca</w:t>
            </w:r>
          </w:p>
        </w:tc>
        <w:tc>
          <w:tcPr>
            <w:tcW w:type="dxa" w:w="465"/>
          </w:tcPr>
          <w:p>
            <w:pPr>
              <w:pStyle w:val="Compact"/>
              <w:spacing w:after="20"/>
              <w:jc w:val="left"/>
            </w:pPr>
            <w:r>
              <w:rPr>
                <w:sz w:val="18"/>
              </w:rPr>
              <w:t xml:space="preserve">4.714.987</w:t>
            </w:r>
          </w:p>
        </w:tc>
        <w:tc>
          <w:tcPr>
            <w:tcW w:type="dxa" w:w="465"/>
          </w:tcPr>
          <w:p>
            <w:pPr>
              <w:pStyle w:val="Compact"/>
              <w:spacing w:after="20"/>
              <w:jc w:val="left"/>
            </w:pPr>
            <w:r>
              <w:rPr>
                <w:sz w:val="18"/>
              </w:rPr>
              <w:t xml:space="preserve">42</w:t>
            </w:r>
          </w:p>
        </w:tc>
        <w:tc>
          <w:tcPr>
            <w:tcW w:type="dxa" w:w="465"/>
          </w:tcPr>
          <w:p>
            <w:pPr>
              <w:pStyle w:val="Compact"/>
              <w:spacing w:after="20"/>
              <w:jc w:val="left"/>
            </w:pPr>
            <w:r>
              <w:rPr>
                <w:sz w:val="18"/>
              </w:rPr>
              <w:t xml:space="preserve">24</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8,5 %</w:t>
            </w:r>
          </w:p>
        </w:tc>
        <w:tc>
          <w:tcPr>
            <w:tcW w:type="dxa" w:w="465"/>
          </w:tcPr>
          <w:p>
            <w:pPr>
              <w:pStyle w:val="Compact"/>
              <w:spacing w:after="20"/>
              <w:jc w:val="left"/>
            </w:pPr>
            <w:r>
              <w:rPr>
                <w:sz w:val="18"/>
              </w:rPr>
              <w:t xml:space="preserve">82</w:t>
            </w:r>
          </w:p>
        </w:tc>
        <w:tc>
          <w:tcPr>
            <w:tcW w:type="dxa" w:w="465"/>
          </w:tcPr>
          <w:p>
            <w:pPr>
              <w:pStyle w:val="Compact"/>
              <w:spacing w:after="20"/>
              <w:jc w:val="left"/>
            </w:pPr>
            <w:r>
              <w:rPr>
                <w:sz w:val="18"/>
              </w:rPr>
              <w:t xml:space="preserve">83</w:t>
            </w:r>
          </w:p>
        </w:tc>
        <w:tc>
          <w:tcPr>
            <w:tcW w:type="dxa" w:w="465"/>
          </w:tcPr>
          <w:p>
            <w:pPr>
              <w:pStyle w:val="Compact"/>
              <w:spacing w:after="20"/>
              <w:jc w:val="left"/>
            </w:pPr>
            <w:r>
              <w:rPr>
                <w:sz w:val="18"/>
              </w:rPr>
              <w:t xml:space="preserve">29</w:t>
            </w:r>
          </w:p>
        </w:tc>
        <w:tc>
          <w:tcPr>
            <w:tcW w:type="dxa" w:w="465"/>
          </w:tcPr>
          <w:p>
            <w:pPr>
              <w:pStyle w:val="Compact"/>
              <w:spacing w:after="20"/>
              <w:jc w:val="left"/>
            </w:pPr>
            <w:r>
              <w:rPr>
                <w:sz w:val="18"/>
              </w:rPr>
              <w:t xml:space="preserve">8</w:t>
            </w:r>
          </w:p>
        </w:tc>
        <w:tc>
          <w:tcPr>
            <w:tcW w:type="dxa" w:w="465"/>
          </w:tcPr>
          <w:p>
            <w:pPr>
              <w:pStyle w:val="Compact"/>
              <w:spacing w:after="20"/>
              <w:jc w:val="left"/>
            </w:pPr>
            <w:r>
              <w:rPr>
                <w:sz w:val="18"/>
              </w:rPr>
              <w:t xml:space="preserve">8</w:t>
            </w:r>
          </w:p>
        </w:tc>
        <w:tc>
          <w:tcPr>
            <w:tcW w:type="dxa" w:w="465"/>
          </w:tcPr>
          <w:p>
            <w:pPr>
              <w:pStyle w:val="Compact"/>
              <w:spacing w:after="20"/>
              <w:jc w:val="left"/>
            </w:pPr>
            <w:r>
              <w:rPr>
                <w:sz w:val="18"/>
              </w:rPr>
              <w:t xml:space="preserve">54</w:t>
            </w:r>
          </w:p>
        </w:tc>
        <w:tc>
          <w:tcPr>
            <w:tcW w:type="dxa" w:w="465"/>
          </w:tcPr>
          <w:p>
            <w:pPr>
              <w:pStyle w:val="Compact"/>
              <w:spacing w:after="20"/>
              <w:jc w:val="left"/>
            </w:pPr>
            <w:r>
              <w:rPr>
                <w:sz w:val="18"/>
              </w:rPr>
              <w:t xml:space="preserve">24</w:t>
            </w:r>
          </w:p>
        </w:tc>
        <w:tc>
          <w:tcPr>
            <w:tcW w:type="dxa" w:w="465"/>
          </w:tcPr>
          <w:p>
            <w:pPr>
              <w:pStyle w:val="Compact"/>
              <w:spacing w:after="20"/>
              <w:jc w:val="left"/>
            </w:pPr>
            <w:r>
              <w:rPr>
                <w:sz w:val="18"/>
              </w:rPr>
              <w:t xml:space="preserve">19</w:t>
            </w:r>
          </w:p>
        </w:tc>
      </w:tr>
      <w:tr>
        <w:tc>
          <w:tcPr>
            <w:tcW w:type="dxa" w:w="3352"/>
          </w:tcPr>
          <w:p>
            <w:pPr>
              <w:pStyle w:val="Compact"/>
              <w:spacing w:after="20"/>
              <w:jc w:val="left"/>
            </w:pPr>
            <w:r>
              <w:rPr>
                <w:sz w:val="18"/>
              </w:rPr>
              <w:t xml:space="preserve">25</w:t>
            </w:r>
          </w:p>
        </w:tc>
        <w:tc>
          <w:tcPr>
            <w:tcW w:type="dxa" w:w="465"/>
          </w:tcPr>
          <w:p>
            <w:pPr>
              <w:pStyle w:val="Compact"/>
              <w:spacing w:after="20"/>
              <w:jc w:val="left"/>
            </w:pPr>
            <w:r>
              <w:rPr>
                <w:bCs/>
                <w:b/>
                <w:sz w:val="18"/>
              </w:rPr>
              <w:t xml:space="preserve">San Andrés y Providencia</w:t>
            </w:r>
          </w:p>
        </w:tc>
        <w:tc>
          <w:tcPr>
            <w:tcW w:type="dxa" w:w="465"/>
          </w:tcPr>
          <w:p>
            <w:pPr>
              <w:pStyle w:val="Compact"/>
              <w:spacing w:after="20"/>
              <w:jc w:val="left"/>
            </w:pPr>
            <w:r>
              <w:rPr>
                <w:sz w:val="18"/>
              </w:rPr>
              <w:t xml:space="preserve">63.527</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23</w:t>
            </w:r>
          </w:p>
        </w:tc>
        <w:tc>
          <w:tcPr>
            <w:tcW w:type="dxa" w:w="465"/>
          </w:tcPr>
          <w:p>
            <w:pPr>
              <w:pStyle w:val="Compact"/>
              <w:spacing w:after="20"/>
              <w:jc w:val="left"/>
            </w:pPr>
            <w:r>
              <w:rPr>
                <w:sz w:val="18"/>
              </w:rPr>
              <w:t xml:space="preserve">0</w:t>
            </w:r>
          </w:p>
        </w:tc>
        <w:tc>
          <w:tcPr>
            <w:tcW w:type="dxa" w:w="465"/>
          </w:tcPr>
          <w:p>
            <w:pPr>
              <w:pStyle w:val="Compact"/>
              <w:spacing w:after="20"/>
              <w:jc w:val="left"/>
            </w:pPr>
            <w:r>
              <w:rPr>
                <w:sz w:val="18"/>
              </w:rPr>
              <w:t xml:space="preserve">0,0 %</w:t>
            </w:r>
          </w:p>
        </w:tc>
        <w:tc>
          <w:tcPr>
            <w:tcW w:type="dxa" w:w="465"/>
          </w:tcPr>
          <w:p>
            <w:pPr>
              <w:pStyle w:val="Compact"/>
              <w:spacing w:after="20"/>
              <w:jc w:val="left"/>
            </w:pPr>
            <w:r>
              <w:rPr>
                <w:sz w:val="18"/>
              </w:rPr>
              <w:t xml:space="preserve">—</w:t>
            </w:r>
          </w:p>
        </w:tc>
        <w:tc>
          <w:tcPr>
            <w:tcW w:type="dxa" w:w="465"/>
          </w:tcPr>
          <w:p>
            <w:pPr>
              <w:pStyle w:val="Compact"/>
              <w:spacing w:after="20"/>
              <w:jc w:val="left"/>
            </w:pPr>
            <w:r>
              <w:rPr>
                <w:sz w:val="18"/>
              </w:rPr>
              <w:t xml:space="preserve">82</w:t>
            </w:r>
          </w:p>
        </w:tc>
        <w:tc>
          <w:tcPr>
            <w:tcW w:type="dxa" w:w="465"/>
          </w:tcPr>
          <w:p>
            <w:pPr>
              <w:pStyle w:val="Compact"/>
              <w:spacing w:after="20"/>
              <w:jc w:val="left"/>
            </w:pPr>
            <w:r>
              <w:rPr>
                <w:sz w:val="18"/>
              </w:rPr>
              <w:t xml:space="preserve">60</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45</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5</w:t>
            </w:r>
          </w:p>
        </w:tc>
      </w:tr>
      <w:tr>
        <w:tc>
          <w:tcPr>
            <w:tcW w:type="dxa" w:w="3352"/>
          </w:tcPr>
          <w:p>
            <w:pPr>
              <w:pStyle w:val="Compact"/>
              <w:spacing w:after="20"/>
              <w:jc w:val="left"/>
            </w:pPr>
            <w:r>
              <w:rPr>
                <w:sz w:val="18"/>
              </w:rPr>
              <w:t xml:space="preserve">26</w:t>
            </w:r>
          </w:p>
        </w:tc>
        <w:tc>
          <w:tcPr>
            <w:tcW w:type="dxa" w:w="465"/>
          </w:tcPr>
          <w:p>
            <w:pPr>
              <w:pStyle w:val="Compact"/>
              <w:spacing w:after="20"/>
              <w:jc w:val="left"/>
            </w:pPr>
            <w:r>
              <w:rPr>
                <w:bCs/>
                <w:b/>
                <w:sz w:val="18"/>
              </w:rPr>
              <w:t xml:space="preserve">Quindío</w:t>
            </w:r>
          </w:p>
        </w:tc>
        <w:tc>
          <w:tcPr>
            <w:tcW w:type="dxa" w:w="465"/>
          </w:tcPr>
          <w:p>
            <w:pPr>
              <w:pStyle w:val="Compact"/>
              <w:spacing w:after="20"/>
              <w:jc w:val="left"/>
            </w:pPr>
            <w:r>
              <w:rPr>
                <w:sz w:val="18"/>
              </w:rPr>
              <w:t xml:space="preserve">557.850</w:t>
            </w:r>
          </w:p>
        </w:tc>
        <w:tc>
          <w:tcPr>
            <w:tcW w:type="dxa" w:w="465"/>
          </w:tcPr>
          <w:p>
            <w:pPr>
              <w:pStyle w:val="Compact"/>
              <w:spacing w:after="20"/>
              <w:jc w:val="left"/>
            </w:pPr>
            <w:r>
              <w:rPr>
                <w:sz w:val="18"/>
              </w:rPr>
              <w:t xml:space="preserve">12</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0</w:t>
            </w:r>
          </w:p>
        </w:tc>
        <w:tc>
          <w:tcPr>
            <w:tcW w:type="dxa" w:w="465"/>
          </w:tcPr>
          <w:p>
            <w:pPr>
              <w:pStyle w:val="Compact"/>
              <w:spacing w:after="20"/>
              <w:jc w:val="left"/>
            </w:pPr>
            <w:r>
              <w:rPr>
                <w:sz w:val="18"/>
              </w:rPr>
              <w:t xml:space="preserve">0,0 %</w:t>
            </w:r>
          </w:p>
        </w:tc>
        <w:tc>
          <w:tcPr>
            <w:tcW w:type="dxa" w:w="465"/>
          </w:tcPr>
          <w:p>
            <w:pPr>
              <w:pStyle w:val="Compact"/>
              <w:spacing w:after="20"/>
              <w:jc w:val="left"/>
            </w:pPr>
            <w:r>
              <w:rPr>
                <w:sz w:val="18"/>
              </w:rPr>
              <w:t xml:space="preserve">73</w:t>
            </w:r>
          </w:p>
        </w:tc>
        <w:tc>
          <w:tcPr>
            <w:tcW w:type="dxa" w:w="465"/>
          </w:tcPr>
          <w:p>
            <w:pPr>
              <w:pStyle w:val="Compact"/>
              <w:spacing w:after="20"/>
              <w:jc w:val="left"/>
            </w:pPr>
            <w:r>
              <w:rPr>
                <w:sz w:val="18"/>
              </w:rPr>
              <w:t xml:space="preserve">84</w:t>
            </w:r>
          </w:p>
        </w:tc>
        <w:tc>
          <w:tcPr>
            <w:tcW w:type="dxa" w:w="465"/>
          </w:tcPr>
          <w:p>
            <w:pPr>
              <w:pStyle w:val="Compact"/>
              <w:spacing w:after="20"/>
              <w:jc w:val="left"/>
            </w:pPr>
            <w:r>
              <w:rPr>
                <w:sz w:val="18"/>
              </w:rPr>
              <w:t xml:space="preserve">35</w:t>
            </w:r>
          </w:p>
        </w:tc>
        <w:tc>
          <w:tcPr>
            <w:tcW w:type="dxa" w:w="465"/>
          </w:tcPr>
          <w:p>
            <w:pPr>
              <w:pStyle w:val="Compact"/>
              <w:spacing w:after="20"/>
              <w:jc w:val="left"/>
            </w:pPr>
            <w:r>
              <w:rPr>
                <w:sz w:val="18"/>
              </w:rPr>
              <w:t xml:space="preserve">9</w:t>
            </w:r>
          </w:p>
        </w:tc>
        <w:tc>
          <w:tcPr>
            <w:tcW w:type="dxa" w:w="465"/>
          </w:tcPr>
          <w:p>
            <w:pPr>
              <w:pStyle w:val="Compact"/>
              <w:spacing w:after="20"/>
              <w:jc w:val="left"/>
            </w:pPr>
            <w:r>
              <w:rPr>
                <w:sz w:val="18"/>
              </w:rPr>
              <w:t xml:space="preserve">10</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26</w:t>
            </w:r>
          </w:p>
        </w:tc>
        <w:tc>
          <w:tcPr>
            <w:tcW w:type="dxa" w:w="465"/>
          </w:tcPr>
          <w:p>
            <w:pPr>
              <w:pStyle w:val="Compact"/>
              <w:spacing w:after="20"/>
              <w:jc w:val="left"/>
            </w:pPr>
            <w:r>
              <w:rPr>
                <w:sz w:val="18"/>
              </w:rPr>
              <w:t xml:space="preserve">17</w:t>
            </w:r>
          </w:p>
        </w:tc>
      </w:tr>
      <w:tr>
        <w:tc>
          <w:tcPr>
            <w:tcW w:type="dxa" w:w="3352"/>
          </w:tcPr>
          <w:p>
            <w:pPr>
              <w:pStyle w:val="Compact"/>
              <w:spacing w:after="20"/>
              <w:jc w:val="left"/>
            </w:pPr>
            <w:r>
              <w:rPr>
                <w:sz w:val="18"/>
              </w:rPr>
              <w:t xml:space="preserve">27</w:t>
            </w:r>
          </w:p>
        </w:tc>
        <w:tc>
          <w:tcPr>
            <w:tcW w:type="dxa" w:w="465"/>
          </w:tcPr>
          <w:p>
            <w:pPr>
              <w:pStyle w:val="Compact"/>
              <w:spacing w:after="20"/>
              <w:jc w:val="left"/>
            </w:pPr>
            <w:r>
              <w:rPr>
                <w:bCs/>
                <w:b/>
                <w:sz w:val="18"/>
              </w:rPr>
              <w:t xml:space="preserve">Risaralda</w:t>
            </w:r>
          </w:p>
        </w:tc>
        <w:tc>
          <w:tcPr>
            <w:tcW w:type="dxa" w:w="465"/>
          </w:tcPr>
          <w:p>
            <w:pPr>
              <w:pStyle w:val="Compact"/>
              <w:spacing w:after="20"/>
              <w:jc w:val="left"/>
            </w:pPr>
            <w:r>
              <w:rPr>
                <w:sz w:val="18"/>
              </w:rPr>
              <w:t xml:space="preserve">1.006.785</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3,7 %</w:t>
            </w:r>
          </w:p>
        </w:tc>
        <w:tc>
          <w:tcPr>
            <w:tcW w:type="dxa" w:w="465"/>
          </w:tcPr>
          <w:p>
            <w:pPr>
              <w:pStyle w:val="Compact"/>
              <w:spacing w:after="20"/>
              <w:jc w:val="left"/>
            </w:pPr>
            <w:r>
              <w:rPr>
                <w:sz w:val="18"/>
              </w:rPr>
              <w:t xml:space="preserve">91</w:t>
            </w:r>
          </w:p>
        </w:tc>
        <w:tc>
          <w:tcPr>
            <w:tcW w:type="dxa" w:w="465"/>
          </w:tcPr>
          <w:p>
            <w:pPr>
              <w:pStyle w:val="Compact"/>
              <w:spacing w:after="20"/>
              <w:jc w:val="left"/>
            </w:pPr>
            <w:r>
              <w:rPr>
                <w:sz w:val="18"/>
              </w:rPr>
              <w:t xml:space="preserve">84</w:t>
            </w:r>
          </w:p>
        </w:tc>
        <w:tc>
          <w:tcPr>
            <w:tcW w:type="dxa" w:w="465"/>
          </w:tcPr>
          <w:p>
            <w:pPr>
              <w:pStyle w:val="Compact"/>
              <w:spacing w:after="20"/>
              <w:jc w:val="left"/>
            </w:pPr>
            <w:r>
              <w:rPr>
                <w:sz w:val="18"/>
              </w:rPr>
              <w:t xml:space="preserve">39</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20</w:t>
            </w:r>
          </w:p>
        </w:tc>
      </w:tr>
      <w:tr>
        <w:tc>
          <w:tcPr>
            <w:tcW w:type="dxa" w:w="3352"/>
          </w:tcPr>
          <w:p>
            <w:pPr>
              <w:pStyle w:val="Compact"/>
              <w:spacing w:after="20"/>
              <w:jc w:val="left"/>
            </w:pPr>
            <w:r>
              <w:rPr>
                <w:sz w:val="18"/>
              </w:rPr>
              <w:t xml:space="preserve">28</w:t>
            </w:r>
          </w:p>
        </w:tc>
        <w:tc>
          <w:tcPr>
            <w:tcW w:type="dxa" w:w="465"/>
          </w:tcPr>
          <w:p>
            <w:pPr>
              <w:pStyle w:val="Compact"/>
              <w:spacing w:after="20"/>
              <w:jc w:val="left"/>
            </w:pPr>
            <w:r>
              <w:rPr>
                <w:bCs/>
                <w:b/>
                <w:sz w:val="18"/>
              </w:rPr>
              <w:t xml:space="preserve">Caldas</w:t>
            </w:r>
          </w:p>
        </w:tc>
        <w:tc>
          <w:tcPr>
            <w:tcW w:type="dxa" w:w="465"/>
          </w:tcPr>
          <w:p>
            <w:pPr>
              <w:pStyle w:val="Compact"/>
              <w:spacing w:after="20"/>
              <w:jc w:val="left"/>
            </w:pPr>
            <w:r>
              <w:rPr>
                <w:sz w:val="18"/>
              </w:rPr>
              <w:t xml:space="preserve">1.056.839</w:t>
            </w:r>
          </w:p>
        </w:tc>
        <w:tc>
          <w:tcPr>
            <w:tcW w:type="dxa" w:w="465"/>
          </w:tcPr>
          <w:p>
            <w:pPr>
              <w:pStyle w:val="Compact"/>
              <w:spacing w:after="20"/>
              <w:jc w:val="left"/>
            </w:pPr>
            <w:r>
              <w:rPr>
                <w:sz w:val="18"/>
              </w:rPr>
              <w:t xml:space="preserve">27</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0</w:t>
            </w:r>
          </w:p>
        </w:tc>
        <w:tc>
          <w:tcPr>
            <w:tcW w:type="dxa" w:w="465"/>
          </w:tcPr>
          <w:p>
            <w:pPr>
              <w:pStyle w:val="Compact"/>
              <w:spacing w:after="20"/>
              <w:jc w:val="left"/>
            </w:pPr>
            <w:r>
              <w:rPr>
                <w:sz w:val="18"/>
              </w:rPr>
              <w:t xml:space="preserve">0,0 %</w:t>
            </w:r>
          </w:p>
        </w:tc>
        <w:tc>
          <w:tcPr>
            <w:tcW w:type="dxa" w:w="465"/>
          </w:tcPr>
          <w:p>
            <w:pPr>
              <w:pStyle w:val="Compact"/>
              <w:spacing w:after="20"/>
              <w:jc w:val="left"/>
            </w:pPr>
            <w:r>
              <w:rPr>
                <w:sz w:val="18"/>
              </w:rPr>
              <w:t xml:space="preserve">73</w:t>
            </w:r>
          </w:p>
        </w:tc>
        <w:tc>
          <w:tcPr>
            <w:tcW w:type="dxa" w:w="465"/>
          </w:tcPr>
          <w:p>
            <w:pPr>
              <w:pStyle w:val="Compact"/>
              <w:spacing w:after="20"/>
              <w:jc w:val="left"/>
            </w:pPr>
            <w:r>
              <w:rPr>
                <w:sz w:val="18"/>
              </w:rPr>
              <w:t xml:space="preserve">51</w:t>
            </w:r>
          </w:p>
        </w:tc>
        <w:tc>
          <w:tcPr>
            <w:tcW w:type="dxa" w:w="465"/>
          </w:tcPr>
          <w:p>
            <w:pPr>
              <w:pStyle w:val="Compact"/>
              <w:spacing w:after="20"/>
              <w:jc w:val="left"/>
            </w:pPr>
            <w:r>
              <w:rPr>
                <w:sz w:val="18"/>
              </w:rPr>
              <w:t xml:space="preserve">33</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47</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21</w:t>
            </w:r>
          </w:p>
        </w:tc>
      </w:tr>
      <w:tr>
        <w:tc>
          <w:tcPr>
            <w:tcW w:type="dxa" w:w="3352"/>
          </w:tcPr>
          <w:p>
            <w:pPr>
              <w:pStyle w:val="Compact"/>
              <w:spacing w:after="20"/>
              <w:jc w:val="left"/>
            </w:pPr>
            <w:r>
              <w:rPr>
                <w:sz w:val="18"/>
              </w:rPr>
              <w:t xml:space="preserve">29</w:t>
            </w:r>
          </w:p>
        </w:tc>
        <w:tc>
          <w:tcPr>
            <w:tcW w:type="dxa" w:w="465"/>
          </w:tcPr>
          <w:p>
            <w:pPr>
              <w:pStyle w:val="Compact"/>
              <w:spacing w:after="20"/>
              <w:jc w:val="left"/>
            </w:pPr>
            <w:r>
              <w:rPr>
                <w:bCs/>
                <w:b/>
                <w:sz w:val="18"/>
              </w:rPr>
              <w:t xml:space="preserve">Antioquia</w:t>
            </w:r>
          </w:p>
        </w:tc>
        <w:tc>
          <w:tcPr>
            <w:tcW w:type="dxa" w:w="465"/>
          </w:tcPr>
          <w:p>
            <w:pPr>
              <w:pStyle w:val="Compact"/>
              <w:spacing w:after="20"/>
              <w:jc w:val="left"/>
            </w:pPr>
            <w:r>
              <w:rPr>
                <w:sz w:val="18"/>
              </w:rPr>
              <w:t xml:space="preserve">6.963.990</w:t>
            </w:r>
          </w:p>
        </w:tc>
        <w:tc>
          <w:tcPr>
            <w:tcW w:type="dxa" w:w="465"/>
          </w:tcPr>
          <w:p>
            <w:pPr>
              <w:pStyle w:val="Compact"/>
              <w:spacing w:after="20"/>
              <w:jc w:val="left"/>
            </w:pPr>
            <w:r>
              <w:rPr>
                <w:sz w:val="18"/>
              </w:rPr>
              <w:t xml:space="preserve">125</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21</w:t>
            </w:r>
          </w:p>
        </w:tc>
        <w:tc>
          <w:tcPr>
            <w:tcW w:type="dxa" w:w="465"/>
          </w:tcPr>
          <w:p>
            <w:pPr>
              <w:pStyle w:val="Compact"/>
              <w:spacing w:after="20"/>
              <w:jc w:val="left"/>
            </w:pPr>
            <w:r>
              <w:rPr>
                <w:sz w:val="18"/>
              </w:rPr>
              <w:t xml:space="preserve">6,6 %</w:t>
            </w:r>
          </w:p>
        </w:tc>
        <w:tc>
          <w:tcPr>
            <w:tcW w:type="dxa" w:w="465"/>
          </w:tcPr>
          <w:p>
            <w:pPr>
              <w:pStyle w:val="Compact"/>
              <w:spacing w:after="20"/>
              <w:jc w:val="left"/>
            </w:pPr>
            <w:r>
              <w:rPr>
                <w:sz w:val="18"/>
              </w:rPr>
              <w:t xml:space="preserve">98</w:t>
            </w:r>
          </w:p>
        </w:tc>
        <w:tc>
          <w:tcPr>
            <w:tcW w:type="dxa" w:w="465"/>
          </w:tcPr>
          <w:p>
            <w:pPr>
              <w:pStyle w:val="Compact"/>
              <w:spacing w:after="20"/>
              <w:jc w:val="left"/>
            </w:pPr>
            <w:r>
              <w:rPr>
                <w:sz w:val="18"/>
              </w:rPr>
              <w:t xml:space="preserve">63</w:t>
            </w:r>
          </w:p>
        </w:tc>
        <w:tc>
          <w:tcPr>
            <w:tcW w:type="dxa" w:w="465"/>
          </w:tcPr>
          <w:p>
            <w:pPr>
              <w:pStyle w:val="Compact"/>
              <w:spacing w:after="20"/>
              <w:jc w:val="left"/>
            </w:pPr>
            <w:r>
              <w:rPr>
                <w:sz w:val="18"/>
              </w:rPr>
              <w:t xml:space="preserve">25</w:t>
            </w:r>
          </w:p>
        </w:tc>
        <w:tc>
          <w:tcPr>
            <w:tcW w:type="dxa" w:w="465"/>
          </w:tcPr>
          <w:p>
            <w:pPr>
              <w:pStyle w:val="Compact"/>
              <w:spacing w:after="20"/>
              <w:jc w:val="left"/>
            </w:pPr>
            <w:r>
              <w:rPr>
                <w:sz w:val="18"/>
              </w:rPr>
              <w:t xml:space="preserve">20</w:t>
            </w:r>
          </w:p>
        </w:tc>
        <w:tc>
          <w:tcPr>
            <w:tcW w:type="dxa" w:w="465"/>
          </w:tcPr>
          <w:p>
            <w:pPr>
              <w:pStyle w:val="Compact"/>
              <w:spacing w:after="20"/>
              <w:jc w:val="left"/>
            </w:pPr>
            <w:r>
              <w:rPr>
                <w:sz w:val="18"/>
              </w:rPr>
              <w:t xml:space="preserve">17</w:t>
            </w:r>
          </w:p>
        </w:tc>
        <w:tc>
          <w:tcPr>
            <w:tcW w:type="dxa" w:w="465"/>
          </w:tcPr>
          <w:p>
            <w:pPr>
              <w:pStyle w:val="Compact"/>
              <w:spacing w:after="20"/>
              <w:jc w:val="left"/>
            </w:pPr>
            <w:r>
              <w:rPr>
                <w:sz w:val="18"/>
              </w:rPr>
              <w:t xml:space="preserve">27</w:t>
            </w:r>
          </w:p>
        </w:tc>
        <w:tc>
          <w:tcPr>
            <w:tcW w:type="dxa" w:w="465"/>
          </w:tcPr>
          <w:p>
            <w:pPr>
              <w:pStyle w:val="Compact"/>
              <w:spacing w:after="20"/>
              <w:jc w:val="left"/>
            </w:pPr>
            <w:r>
              <w:rPr>
                <w:sz w:val="18"/>
              </w:rPr>
              <w:t xml:space="preserve">17</w:t>
            </w:r>
          </w:p>
        </w:tc>
        <w:tc>
          <w:tcPr>
            <w:tcW w:type="dxa" w:w="465"/>
          </w:tcPr>
          <w:p>
            <w:pPr>
              <w:pStyle w:val="Compact"/>
              <w:spacing w:after="20"/>
              <w:jc w:val="left"/>
            </w:pPr>
            <w:r>
              <w:rPr>
                <w:sz w:val="18"/>
              </w:rPr>
              <w:t xml:space="preserve">16</w:t>
            </w:r>
          </w:p>
        </w:tc>
      </w:tr>
      <w:tr>
        <w:tc>
          <w:tcPr>
            <w:tcW w:type="dxa" w:w="3352"/>
          </w:tcPr>
          <w:p>
            <w:pPr>
              <w:pStyle w:val="Compact"/>
              <w:spacing w:after="20"/>
              <w:jc w:val="left"/>
            </w:pPr>
            <w:r>
              <w:rPr>
                <w:sz w:val="18"/>
              </w:rPr>
              <w:t xml:space="preserve">30</w:t>
            </w:r>
          </w:p>
        </w:tc>
        <w:tc>
          <w:tcPr>
            <w:tcW w:type="dxa" w:w="465"/>
          </w:tcPr>
          <w:p>
            <w:pPr>
              <w:pStyle w:val="Compact"/>
              <w:spacing w:after="20"/>
              <w:jc w:val="left"/>
            </w:pPr>
            <w:r>
              <w:rPr>
                <w:bCs/>
                <w:b/>
                <w:sz w:val="18"/>
              </w:rPr>
              <w:t xml:space="preserve">Boyacá</w:t>
            </w:r>
          </w:p>
        </w:tc>
        <w:tc>
          <w:tcPr>
            <w:tcW w:type="dxa" w:w="465"/>
          </w:tcPr>
          <w:p>
            <w:pPr>
              <w:pStyle w:val="Compact"/>
              <w:spacing w:after="20"/>
              <w:jc w:val="left"/>
            </w:pPr>
            <w:r>
              <w:rPr>
                <w:sz w:val="18"/>
              </w:rPr>
              <w:t xml:space="preserve">1.295.848</w:t>
            </w:r>
          </w:p>
        </w:tc>
        <w:tc>
          <w:tcPr>
            <w:tcW w:type="dxa" w:w="465"/>
          </w:tcPr>
          <w:p>
            <w:pPr>
              <w:pStyle w:val="Compact"/>
              <w:spacing w:after="20"/>
              <w:jc w:val="left"/>
            </w:pPr>
            <w:r>
              <w:rPr>
                <w:sz w:val="18"/>
              </w:rPr>
              <w:t xml:space="preserve">123</w:t>
            </w:r>
          </w:p>
        </w:tc>
        <w:tc>
          <w:tcPr>
            <w:tcW w:type="dxa" w:w="465"/>
          </w:tcPr>
          <w:p>
            <w:pPr>
              <w:pStyle w:val="Compact"/>
              <w:spacing w:after="20"/>
              <w:jc w:val="left"/>
            </w:pPr>
            <w:r>
              <w:rPr>
                <w:sz w:val="18"/>
              </w:rPr>
              <w:t xml:space="preserve">19</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3,2 %</w:t>
            </w:r>
          </w:p>
        </w:tc>
        <w:tc>
          <w:tcPr>
            <w:tcW w:type="dxa" w:w="465"/>
          </w:tcPr>
          <w:p>
            <w:pPr>
              <w:pStyle w:val="Compact"/>
              <w:spacing w:after="20"/>
              <w:jc w:val="left"/>
            </w:pPr>
            <w:r>
              <w:rPr>
                <w:sz w:val="18"/>
              </w:rPr>
              <w:t xml:space="preserve">98</w:t>
            </w:r>
          </w:p>
        </w:tc>
        <w:tc>
          <w:tcPr>
            <w:tcW w:type="dxa" w:w="465"/>
          </w:tcPr>
          <w:p>
            <w:pPr>
              <w:pStyle w:val="Compact"/>
              <w:spacing w:after="20"/>
              <w:jc w:val="left"/>
            </w:pPr>
            <w:r>
              <w:rPr>
                <w:sz w:val="18"/>
              </w:rPr>
              <w:t xml:space="preserve">48</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23</w:t>
            </w:r>
          </w:p>
        </w:tc>
        <w:tc>
          <w:tcPr>
            <w:tcW w:type="dxa" w:w="465"/>
          </w:tcPr>
          <w:p>
            <w:pPr>
              <w:pStyle w:val="Compact"/>
              <w:spacing w:after="20"/>
              <w:jc w:val="left"/>
            </w:pPr>
            <w:r>
              <w:rPr>
                <w:sz w:val="18"/>
              </w:rPr>
              <w:t xml:space="preserve">24</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35</w:t>
            </w:r>
          </w:p>
        </w:tc>
      </w:tr>
      <w:tr>
        <w:tc>
          <w:tcPr>
            <w:tcW w:type="dxa" w:w="3352"/>
          </w:tcPr>
          <w:p>
            <w:pPr>
              <w:pStyle w:val="Compact"/>
              <w:spacing w:after="20"/>
              <w:jc w:val="left"/>
            </w:pPr>
            <w:r>
              <w:rPr>
                <w:sz w:val="18"/>
              </w:rPr>
              <w:t xml:space="preserve">31</w:t>
            </w:r>
          </w:p>
        </w:tc>
        <w:tc>
          <w:tcPr>
            <w:tcW w:type="dxa" w:w="465"/>
          </w:tcPr>
          <w:p>
            <w:pPr>
              <w:pStyle w:val="Compact"/>
              <w:spacing w:after="20"/>
              <w:jc w:val="left"/>
            </w:pPr>
            <w:r>
              <w:rPr>
                <w:bCs/>
                <w:b/>
                <w:sz w:val="18"/>
              </w:rPr>
              <w:t xml:space="preserve">Santander</w:t>
            </w:r>
          </w:p>
        </w:tc>
        <w:tc>
          <w:tcPr>
            <w:tcW w:type="dxa" w:w="465"/>
          </w:tcPr>
          <w:p>
            <w:pPr>
              <w:pStyle w:val="Compact"/>
              <w:spacing w:after="20"/>
              <w:jc w:val="left"/>
            </w:pPr>
            <w:r>
              <w:rPr>
                <w:sz w:val="18"/>
              </w:rPr>
              <w:t xml:space="preserve">2.410.700</w:t>
            </w:r>
          </w:p>
        </w:tc>
        <w:tc>
          <w:tcPr>
            <w:tcW w:type="dxa" w:w="465"/>
          </w:tcPr>
          <w:p>
            <w:pPr>
              <w:pStyle w:val="Compact"/>
              <w:spacing w:after="20"/>
              <w:jc w:val="left"/>
            </w:pPr>
            <w:r>
              <w:rPr>
                <w:sz w:val="18"/>
              </w:rPr>
              <w:t xml:space="preserve">87</w:t>
            </w:r>
          </w:p>
        </w:tc>
        <w:tc>
          <w:tcPr>
            <w:tcW w:type="dxa" w:w="465"/>
          </w:tcPr>
          <w:p>
            <w:pPr>
              <w:pStyle w:val="Compact"/>
              <w:spacing w:after="20"/>
              <w:jc w:val="left"/>
            </w:pPr>
            <w:r>
              <w:rPr>
                <w:sz w:val="18"/>
              </w:rPr>
              <w:t xml:space="preserve">14</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0,4 %</w:t>
            </w:r>
          </w:p>
        </w:tc>
        <w:tc>
          <w:tcPr>
            <w:tcW w:type="dxa" w:w="465"/>
          </w:tcPr>
          <w:p>
            <w:pPr>
              <w:pStyle w:val="Compact"/>
              <w:spacing w:after="20"/>
              <w:jc w:val="left"/>
            </w:pPr>
            <w:r>
              <w:rPr>
                <w:sz w:val="18"/>
              </w:rPr>
              <w:t xml:space="preserve">92</w:t>
            </w:r>
          </w:p>
        </w:tc>
        <w:tc>
          <w:tcPr>
            <w:tcW w:type="dxa" w:w="465"/>
          </w:tcPr>
          <w:p>
            <w:pPr>
              <w:pStyle w:val="Compact"/>
              <w:spacing w:after="20"/>
              <w:jc w:val="left"/>
            </w:pPr>
            <w:r>
              <w:rPr>
                <w:sz w:val="18"/>
              </w:rPr>
              <w:t xml:space="preserve">55</w:t>
            </w:r>
          </w:p>
        </w:tc>
        <w:tc>
          <w:tcPr>
            <w:tcW w:type="dxa" w:w="465"/>
          </w:tcPr>
          <w:p>
            <w:pPr>
              <w:pStyle w:val="Compact"/>
              <w:spacing w:after="20"/>
              <w:jc w:val="left"/>
            </w:pPr>
            <w:r>
              <w:rPr>
                <w:sz w:val="18"/>
              </w:rPr>
              <w:t xml:space="preserve">15</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26</w:t>
            </w:r>
          </w:p>
        </w:tc>
        <w:tc>
          <w:tcPr>
            <w:tcW w:type="dxa" w:w="465"/>
          </w:tcPr>
          <w:p>
            <w:pPr>
              <w:pStyle w:val="Compact"/>
              <w:spacing w:after="20"/>
              <w:jc w:val="left"/>
            </w:pPr>
            <w:r>
              <w:rPr>
                <w:sz w:val="18"/>
              </w:rPr>
              <w:t xml:space="preserve">22</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15</w:t>
            </w:r>
          </w:p>
        </w:tc>
      </w:tr>
      <w:tr>
        <w:tc>
          <w:tcPr>
            <w:tcW w:type="dxa" w:w="3352"/>
          </w:tcPr>
          <w:p>
            <w:pPr>
              <w:pStyle w:val="Compact"/>
              <w:spacing w:after="20"/>
              <w:jc w:val="left"/>
            </w:pPr>
            <w:r>
              <w:rPr>
                <w:sz w:val="18"/>
              </w:rPr>
              <w:t xml:space="preserve">32</w:t>
            </w:r>
          </w:p>
        </w:tc>
        <w:tc>
          <w:tcPr>
            <w:tcW w:type="dxa" w:w="465"/>
          </w:tcPr>
          <w:p>
            <w:pPr>
              <w:pStyle w:val="Compact"/>
              <w:spacing w:after="20"/>
              <w:jc w:val="left"/>
            </w:pPr>
            <w:r>
              <w:rPr>
                <w:bCs/>
                <w:b/>
                <w:sz w:val="18"/>
              </w:rPr>
              <w:t xml:space="preserve">Cundinamarca</w:t>
            </w:r>
          </w:p>
        </w:tc>
        <w:tc>
          <w:tcPr>
            <w:tcW w:type="dxa" w:w="465"/>
          </w:tcPr>
          <w:p>
            <w:pPr>
              <w:pStyle w:val="Compact"/>
              <w:spacing w:after="20"/>
              <w:jc w:val="left"/>
            </w:pPr>
            <w:r>
              <w:rPr>
                <w:sz w:val="18"/>
              </w:rPr>
              <w:t xml:space="preserve">3.601.277</w:t>
            </w:r>
          </w:p>
        </w:tc>
        <w:tc>
          <w:tcPr>
            <w:tcW w:type="dxa" w:w="465"/>
          </w:tcPr>
          <w:p>
            <w:pPr>
              <w:pStyle w:val="Compact"/>
              <w:spacing w:after="20"/>
              <w:jc w:val="left"/>
            </w:pPr>
            <w:r>
              <w:rPr>
                <w:sz w:val="18"/>
              </w:rPr>
              <w:t xml:space="preserve">116</w:t>
            </w:r>
          </w:p>
        </w:tc>
        <w:tc>
          <w:tcPr>
            <w:tcW w:type="dxa" w:w="465"/>
          </w:tcPr>
          <w:p>
            <w:pPr>
              <w:pStyle w:val="Compact"/>
              <w:spacing w:after="20"/>
              <w:jc w:val="left"/>
            </w:pPr>
            <w:r>
              <w:rPr>
                <w:sz w:val="18"/>
              </w:rPr>
              <w:t xml:space="preserve">13</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0,4 %</w:t>
            </w:r>
          </w:p>
        </w:tc>
        <w:tc>
          <w:tcPr>
            <w:tcW w:type="dxa" w:w="465"/>
          </w:tcPr>
          <w:p>
            <w:pPr>
              <w:pStyle w:val="Compact"/>
              <w:spacing w:after="20"/>
              <w:jc w:val="left"/>
            </w:pPr>
            <w:r>
              <w:rPr>
                <w:sz w:val="18"/>
              </w:rPr>
              <w:t xml:space="preserve">81</w:t>
            </w:r>
          </w:p>
        </w:tc>
        <w:tc>
          <w:tcPr>
            <w:tcW w:type="dxa" w:w="465"/>
          </w:tcPr>
          <w:p>
            <w:pPr>
              <w:pStyle w:val="Compact"/>
              <w:spacing w:after="20"/>
              <w:jc w:val="left"/>
            </w:pPr>
            <w:r>
              <w:rPr>
                <w:sz w:val="18"/>
              </w:rPr>
              <w:t xml:space="preserve">48</w:t>
            </w:r>
          </w:p>
        </w:tc>
        <w:tc>
          <w:tcPr>
            <w:tcW w:type="dxa" w:w="465"/>
          </w:tcPr>
          <w:p>
            <w:pPr>
              <w:pStyle w:val="Compact"/>
              <w:spacing w:after="20"/>
              <w:jc w:val="left"/>
            </w:pPr>
            <w:r>
              <w:rPr>
                <w:sz w:val="18"/>
              </w:rPr>
              <w:t xml:space="preserve">37</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18</w:t>
            </w:r>
          </w:p>
        </w:tc>
        <w:tc>
          <w:tcPr>
            <w:tcW w:type="dxa" w:w="465"/>
          </w:tcPr>
          <w:p>
            <w:pPr>
              <w:pStyle w:val="Compact"/>
              <w:spacing w:after="20"/>
              <w:jc w:val="left"/>
            </w:pPr>
            <w:r>
              <w:rPr>
                <w:sz w:val="18"/>
              </w:rPr>
              <w:t xml:space="preserve">25</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17</w:t>
            </w:r>
          </w:p>
        </w:tc>
      </w:tr>
      <w:tr>
        <w:tc>
          <w:tcPr>
            <w:tcW w:type="dxa" w:w="3352"/>
          </w:tcPr>
          <w:p>
            <w:pPr>
              <w:pStyle w:val="Compact"/>
              <w:spacing w:after="20"/>
              <w:jc w:val="left"/>
            </w:pPr>
            <w:r>
              <w:rPr>
                <w:sz w:val="18"/>
              </w:rPr>
              <w:t xml:space="preserve">33</w:t>
            </w:r>
          </w:p>
        </w:tc>
        <w:tc>
          <w:tcPr>
            <w:tcW w:type="dxa" w:w="465"/>
          </w:tcPr>
          <w:p>
            <w:pPr>
              <w:pStyle w:val="Compact"/>
              <w:spacing w:after="20"/>
              <w:jc w:val="left"/>
            </w:pPr>
            <w:r>
              <w:rPr>
                <w:bCs/>
                <w:b/>
                <w:sz w:val="18"/>
              </w:rPr>
              <w:t xml:space="preserve">Bogotá, D. C.</w:t>
            </w:r>
          </w:p>
        </w:tc>
        <w:tc>
          <w:tcPr>
            <w:tcW w:type="dxa" w:w="465"/>
          </w:tcPr>
          <w:p>
            <w:pPr>
              <w:pStyle w:val="Compact"/>
              <w:spacing w:after="20"/>
              <w:jc w:val="left"/>
            </w:pPr>
            <w:r>
              <w:rPr>
                <w:sz w:val="18"/>
              </w:rPr>
              <w:t xml:space="preserve">7.945.996</w:t>
            </w:r>
          </w:p>
        </w:tc>
        <w:tc>
          <w:tcPr>
            <w:tcW w:type="dxa" w:w="465"/>
          </w:tcPr>
          <w:p>
            <w:pPr>
              <w:pStyle w:val="Compact"/>
              <w:spacing w:after="20"/>
              <w:jc w:val="left"/>
            </w:pPr>
            <w:r>
              <w:rPr>
                <w:sz w:val="18"/>
              </w:rPr>
              <w:t xml:space="preserve">1</w:t>
            </w:r>
          </w:p>
        </w:tc>
        <w:tc>
          <w:tcPr>
            <w:tcW w:type="dxa" w:w="465"/>
          </w:tcPr>
          <w:p>
            <w:pPr>
              <w:pStyle w:val="Compact"/>
              <w:spacing w:after="20"/>
              <w:jc w:val="left"/>
            </w:pPr>
            <w:r>
              <w:rPr>
                <w:sz w:val="18"/>
              </w:rPr>
              <w:t xml:space="preserve">2</w:t>
            </w:r>
          </w:p>
        </w:tc>
        <w:tc>
          <w:tcPr>
            <w:tcW w:type="dxa" w:w="465"/>
          </w:tcPr>
          <w:p>
            <w:pPr>
              <w:pStyle w:val="Compact"/>
              <w:spacing w:after="20"/>
              <w:jc w:val="left"/>
            </w:pPr>
            <w:r>
              <w:rPr>
                <w:sz w:val="18"/>
              </w:rPr>
              <w:t xml:space="preserve">0</w:t>
            </w:r>
          </w:p>
        </w:tc>
        <w:tc>
          <w:tcPr>
            <w:tcW w:type="dxa" w:w="465"/>
          </w:tcPr>
          <w:p>
            <w:pPr>
              <w:pStyle w:val="Compact"/>
              <w:spacing w:after="20"/>
              <w:jc w:val="left"/>
            </w:pPr>
            <w:r>
              <w:rPr>
                <w:sz w:val="18"/>
              </w:rPr>
              <w:t xml:space="preserve">0,0 %</w:t>
            </w:r>
          </w:p>
        </w:tc>
        <w:tc>
          <w:tcPr>
            <w:tcW w:type="dxa" w:w="465"/>
          </w:tcPr>
          <w:p>
            <w:pPr>
              <w:pStyle w:val="Compact"/>
              <w:spacing w:after="20"/>
              <w:jc w:val="left"/>
            </w:pPr>
            <w:r>
              <w:rPr>
                <w:sz w:val="18"/>
              </w:rPr>
              <w:t xml:space="preserve">—</w:t>
            </w:r>
          </w:p>
        </w:tc>
        <w:tc>
          <w:tcPr>
            <w:tcW w:type="dxa" w:w="465"/>
          </w:tcPr>
          <w:p>
            <w:pPr>
              <w:pStyle w:val="Compact"/>
              <w:spacing w:after="20"/>
              <w:jc w:val="left"/>
            </w:pPr>
            <w:r>
              <w:rPr>
                <w:sz w:val="18"/>
              </w:rPr>
              <w:t xml:space="preserve">41</w:t>
            </w:r>
          </w:p>
        </w:tc>
        <w:tc>
          <w:tcPr>
            <w:tcW w:type="dxa" w:w="465"/>
          </w:tcPr>
          <w:p>
            <w:pPr>
              <w:pStyle w:val="Compact"/>
              <w:spacing w:after="20"/>
              <w:jc w:val="left"/>
            </w:pPr>
            <w:r>
              <w:rPr>
                <w:sz w:val="18"/>
              </w:rPr>
              <w:t xml:space="preserve">30</w:t>
            </w:r>
          </w:p>
        </w:tc>
        <w:tc>
          <w:tcPr>
            <w:tcW w:type="dxa" w:w="465"/>
          </w:tcPr>
          <w:p>
            <w:pPr>
              <w:pStyle w:val="Compact"/>
              <w:spacing w:after="20"/>
              <w:jc w:val="left"/>
            </w:pPr>
            <w:r>
              <w:rPr>
                <w:sz w:val="18"/>
              </w:rPr>
              <w:t xml:space="preserve">1</w:t>
            </w:r>
          </w:p>
        </w:tc>
        <w:tc>
          <w:tcPr>
            <w:tcW w:type="dxa" w:w="465"/>
          </w:tcPr>
          <w:p>
            <w:pPr>
              <w:pStyle w:val="Compact"/>
              <w:spacing w:after="20"/>
              <w:jc w:val="left"/>
            </w:pPr>
            <w:r>
              <w:rPr>
                <w:sz w:val="18"/>
              </w:rPr>
              <w:t xml:space="preserve">6</w:t>
            </w:r>
          </w:p>
        </w:tc>
        <w:tc>
          <w:tcPr>
            <w:tcW w:type="dxa" w:w="465"/>
          </w:tcPr>
          <w:p>
            <w:pPr>
              <w:pStyle w:val="Compact"/>
              <w:spacing w:after="20"/>
              <w:jc w:val="left"/>
            </w:pPr>
            <w:r>
              <w:rPr>
                <w:sz w:val="18"/>
              </w:rPr>
              <w:t xml:space="preserve">11</w:t>
            </w:r>
          </w:p>
        </w:tc>
        <w:tc>
          <w:tcPr>
            <w:tcW w:type="dxa" w:w="465"/>
          </w:tcPr>
          <w:p>
            <w:pPr>
              <w:pStyle w:val="Compact"/>
              <w:spacing w:after="20"/>
              <w:jc w:val="left"/>
            </w:pPr>
            <w:r>
              <w:rPr>
                <w:sz w:val="18"/>
              </w:rPr>
              <w:t xml:space="preserve">7</w:t>
            </w:r>
          </w:p>
        </w:tc>
        <w:tc>
          <w:tcPr>
            <w:tcW w:type="dxa" w:w="465"/>
          </w:tcPr>
          <w:p>
            <w:pPr>
              <w:pStyle w:val="Compact"/>
              <w:spacing w:after="20"/>
              <w:jc w:val="left"/>
            </w:pPr>
            <w:r>
              <w:rPr>
                <w:sz w:val="18"/>
              </w:rPr>
              <w:t xml:space="preserve">0</w:t>
            </w:r>
          </w:p>
        </w:tc>
      </w:tr>
    </w:tbl>
    <w:p>
      <w:pPr>
        <w:pStyle w:val="BodyText"/>
      </w:pPr>
      <w:r>
        <w:t xml:space="preserve">Fuente: INSM. Índice y dimensiones del departamento: promedio del percentil nacional de sus municipios (0-100, 100 = mayor necesidad), ponderados por población. En esta edición no se publica el rango interno de los territorios con uno o dos municipios.</w:t>
      </w:r>
    </w:p>
    <w:bookmarkEnd w:id="51"/>
    <w:bookmarkEnd w:id="52"/>
    <w:bookmarkStart w:id="59" w:name="anexo-b"/>
    <w:bookmarkStart w:id="58" w:name="metodología-del-índice"/>
    <w:p>
      <w:pPr>
        <w:pStyle w:val="Heading1"/>
      </w:pPr>
      <w:r>
        <w:t xml:space="preserve">Metodología del índice</w:t>
      </w:r>
    </w:p>
    <w:p>
      <w:pPr>
        <w:pStyle w:val="FirstParagraph"/>
      </w:pPr>
      <w:r>
        <w:rPr>
          <w:bCs/>
          <w:b/>
        </w:rPr>
        <w:t xml:space="preserve">Qué mide.</w:t>
      </w:r>
      <w:r>
        <w:t xml:space="preserve"> </w:t>
      </w:r>
      <w:r>
        <w:t xml:space="preserve">El Índice de Necesidad en Salud Municipal (INSM) resume en un número de 0 a 100 cuánta necesidad en salud tiene un municipio frente a los demás del país: 100 es el municipio con más necesidad y 50 la mediana nacional. Combina siete dimensiones con 23 indicadores de las bases oficiales del ASIS 2026.</w:t>
      </w:r>
      <w:r>
        <w:t xml:space="preserve"> </w:t>
      </w:r>
      <w:r>
        <w:rPr>
          <w:bCs/>
          <w:b/>
        </w:rPr>
        <w:t xml:space="preserve">No mide la gestión de la alcaldía</w:t>
      </w:r>
      <w:r>
        <w:t xml:space="preserve">: ordena dónde conviene concentrar la asistencia técnica.</w:t>
      </w:r>
    </w:p>
    <w:p>
      <w:pPr>
        <w:pStyle w:val="BodyText"/>
      </w:pPr>
      <w:r>
        <w:rPr>
          <w:bCs/>
          <w:b/>
        </w:rPr>
        <w:t xml:space="preserve">Cómo se calcula.</w:t>
      </w:r>
      <w:r>
        <w:t xml:space="preserve"> </w:t>
      </w:r>
      <w:r>
        <w:t xml:space="preserve">Cada indicador se orienta (más alto = más necesidad), se completa con la mediana del departamento cuando falta, se recortan los extremos (percentiles 1 y 99) y se estandariza a escala nacional. Las tasas de municipios pequeños se suavizan por Bayes empírico; para los indicadores materno-infantiles el denominador son los nacimientos de 2020 a 2024, estimados con la población de 0 años reescalada al total nacional de nacimientos de las Estadísticas Vitales del DANE. Los indicadores se promedian dentro de su dimensión y las dimensiones se suman con sus pesos; el resultado se expresa como percentil nacional.</w:t>
      </w:r>
    </w:p>
    <w:p>
      <w:pPr>
        <w:pStyle w:val="BodyText"/>
      </w:pPr>
      <w:r>
        <w:rPr>
          <w:bCs/>
          <w:b/>
        </w:rPr>
        <w:t xml:space="preserve">Cómo se pondera.</w:t>
      </w:r>
      <w:r>
        <w:t xml:space="preserve"> </w:t>
      </w:r>
      <w:r>
        <w:t xml:space="preserve">El peso de cada dimensión es la mitad normativo y la mitad empírico. El normativo se inspira en el Índice Social Municipal del Ministerio, el IPM del DANE, los</w:t>
      </w:r>
      <w:r>
        <w:t xml:space="preserve"> </w:t>
      </w:r>
      <w:r>
        <w:rPr>
          <w:iCs/>
          <w:i/>
        </w:rPr>
        <w:t xml:space="preserve">County Health Rankings</w:t>
      </w:r>
      <w:r>
        <w:t xml:space="preserve"> </w:t>
      </w:r>
      <w:r>
        <w:t xml:space="preserve">y el Índice de Privación Múltiple de Inglaterra (resultados en salud 36 %, determinantes y acceso 59 %, demografía 5 %). El empírico sale de un análisis factorial múltiple (AFM) de los municipios con las dimensiones como bloques de variables. Antes del AFM, cada indicador se centra y se escala dentro de su departamento: los pesos empíricos reflejan cómo se acumulan las privaciones</w:t>
      </w:r>
      <w:r>
        <w:t xml:space="preserve"> </w:t>
      </w:r>
      <w:r>
        <w:rPr>
          <w:bCs/>
          <w:b/>
        </w:rPr>
        <w:t xml:space="preserve">dentro</w:t>
      </w:r>
      <w:r>
        <w:t xml:space="preserve"> </w:t>
      </w:r>
      <w:r>
        <w:t xml:space="preserve">de cada departamento y no las diferencias entre regiones, aunque el índice se use también para comparar departamentos. El primer eje explica el 26 % de la variación y se retuvieron 4 ejes. La estructura demográfica, que tiene un solo indicador, conserva solo su peso normativo (5 %): en un AFM, un bloque de una variable recibe peso máximo en un eje propio por construcción y no por su relación con la necesidad.</w:t>
      </w:r>
    </w:p>
    <w:p>
      <w:pPr>
        <w:pStyle w:val="BodyText"/>
      </w:pPr>
      <w:r>
        <w:rPr>
          <w:bCs/>
          <w:b/>
        </w:rPr>
        <w:t xml:space="preserve">Qué tan firme es el orden.</w:t>
      </w:r>
      <w:r>
        <w:t xml:space="preserve"> </w:t>
      </w:r>
      <w:r>
        <w:t xml:space="preserve">Se recalculó el índice con 1.000 combinaciones de pesos alrededor de los finales; para cada municipio se informa el rango de su puesto (5 % a 95 % de las combinaciones) y si su posición es estable, moderada o sensible a los pesos. Aparte, con tres esquemas fijos (pesos iguales, solo normativos y solo AFM), la correlación de orden con el índice final es 0,97, 0,99 y 1,00, respectivamente.</w:t>
      </w:r>
    </w:p>
    <w:p>
      <w:pPr>
        <w:pStyle w:val="BodyText"/>
      </w:pPr>
      <w:r>
        <w:rPr>
          <w:bCs/>
          <w:b/>
        </w:rPr>
        <w:t xml:space="preserve">Alertas de calidad del dato.</w:t>
      </w:r>
      <w:r>
        <w:t xml:space="preserve"> </w:t>
      </w:r>
      <w:r>
        <w:t xml:space="preserve">Un municipio queda</w:t>
      </w:r>
      <w:r>
        <w:t xml:space="preserve"> </w:t>
      </w:r>
      <w:r>
        <w:rPr>
          <w:bCs/>
          <w:b/>
        </w:rPr>
        <w:t xml:space="preserve">sin puesto</w:t>
      </w:r>
      <w:r>
        <w:t xml:space="preserve"> </w:t>
      </w:r>
      <w:r>
        <w:t xml:space="preserve">cuando más del 20 % de sus indicadores o más de la mitad de los de dos dimensiones se completaron con la mediana del departamento: su posición reflejaría al departamento y no al municipio. Se marca</w:t>
      </w:r>
      <w:r>
        <w:t xml:space="preserve"> </w:t>
      </w:r>
      <w:r>
        <w:rPr>
          <w:bCs/>
          <w:b/>
        </w:rPr>
        <w:t xml:space="preserve">posible subregistro de defunciones</w:t>
      </w:r>
      <w:r>
        <w:t xml:space="preserve"> </w:t>
      </w:r>
      <w:r>
        <w:t xml:space="preserve">cuando su mortalidad ajustada registrada es menor que 0,6 veces la mediana nacional y su pobreza multidimensional está en el quinto más pobre del país: en esos territorios una tasa baja suele indicar defunciones que no llegan al registro civil, no buena salud. Esos municipios conservan su puesto, pero su dimensión de mortalidad debe leerse como un piso.</w:t>
      </w:r>
    </w:p>
    <w:p>
      <w:pPr>
        <w:pStyle w:val="BodyText"/>
      </w:pPr>
      <w:r>
        <w:rPr>
          <w:bCs/>
          <w:b/>
        </w:rPr>
        <w:t xml:space="preserve">Limitaciones.</w:t>
      </w:r>
      <w:r>
        <w:t xml:space="preserve"> </w:t>
      </w:r>
      <w:r>
        <w:t xml:space="preserve">(1) El subregistro de defunciones, mayor en la Orinoquía, la Amazonía, el Pacífico y las zonas rurales dispersas, hace que la mortalidad registrada subestime la necesidad justo donde es mayor; por eso su peso normativo es bajo (12 %) y la carga de resultados en salud recae en la dimensión materno-infantil. (2) Las coberturas de acueducto, alcantarillado y aseo del SUI se calculan sobre las viviendas que registran los prestadores y dejan fuera buena parte de la zona rural, de modo que</w:t>
      </w:r>
      <w:r>
        <w:t xml:space="preserve"> </w:t>
      </w:r>
      <w:r>
        <w:rPr>
          <w:bCs/>
          <w:b/>
        </w:rPr>
        <w:t xml:space="preserve">sobrestiman</w:t>
      </w:r>
      <w:r>
        <w:t xml:space="preserve"> </w:t>
      </w:r>
      <w:r>
        <w:t xml:space="preserve">la cobertura de los municipios rurales; no entran al índice (el agua se mide con el IRCA y el NBI). (3) Hay superposiciones conocidas: la mortalidad infantil es parte de la mortalidad en la niñez, y las muertes infantiles cuentan también en la mortalidad general y en los años de vida perdidos. (4) La afiliación y la vacunación se topan en 100 %, y muchos municipios quedan empatados en ese techo. (5) Las fuentes son de años distintos (IPM y NBI del censo 2018; coberturas 2024-2025; mortalidad 2024; indicadores materno-infantiles 2020-2024). El índice orienta la priorización; la decisión final se toma con el ASIS de cada municipio.</w:t>
      </w:r>
    </w:p>
    <w:p>
      <w:pPr>
        <w:pStyle w:val="BodyText"/>
      </w:pPr>
      <w:r>
        <w:t xml:space="preserve">Figura 6. Peso de cada dimensión: normativo, AFM y final</w:t>
      </w:r>
    </w:p>
    <w:bookmarkStart w:id="56" w:name="X9b422aaf4eac2e8e755b6e8f99fc592c44645c5"/>
    <w:p>
      <w:pPr>
        <w:pStyle w:val="Heading3"/>
      </w:pPr>
      <w:r>
        <w:t xml:space="preserve">El peso final combina la literatura con lo que muestran los datos</w:t>
      </w:r>
    </w:p>
    <w:p>
      <w:pPr>
        <w:pStyle w:val="Figure"/>
      </w:pPr>
      <w:r>
        <w:drawing>
          <wp:inline>
            <wp:extent cx="6248400" cy="3158251"/>
            <wp:effectExtent b="0" l="0" r="0" t="0"/>
            <wp:docPr descr="Peso de cada dimensión: normativo, AFM y final" title="" id="54" name="Picture"/>
            <a:graphic>
              <a:graphicData uri="http://schemas.openxmlformats.org/drawingml/2006/picture">
                <pic:pic>
                  <pic:nvPicPr>
                    <pic:cNvPr descr="figuras/f_pesos.png" id="55" name="Picture"/>
                    <pic:cNvPicPr>
                      <a:picLocks noChangeArrowheads="1" noChangeAspect="1"/>
                    </pic:cNvPicPr>
                  </pic:nvPicPr>
                  <pic:blipFill>
                    <a:blip r:embed="rId53"/>
                    <a:stretch>
                      <a:fillRect/>
                    </a:stretch>
                  </pic:blipFill>
                  <pic:spPr bwMode="auto">
                    <a:xfrm>
                      <a:off x="0" y="0"/>
                      <a:ext cx="6248400" cy="3158251"/>
                    </a:xfrm>
                    <a:prstGeom prst="rect">
                      <a:avLst/>
                    </a:prstGeom>
                    <a:noFill/>
                    <a:ln w="9525">
                      <a:noFill/>
                      <a:headEnd/>
                      <a:tailEnd/>
                    </a:ln>
                  </pic:spPr>
                </pic:pic>
              </a:graphicData>
            </a:graphic>
          </wp:inline>
        </w:drawing>
      </w:r>
    </w:p>
    <w:p>
      <w:pPr>
        <w:pStyle w:val="FirstParagraph"/>
      </w:pPr>
      <w:r>
        <w:t xml:space="preserve">Fuente: Cálculo propio; metodología publicada en tessellasalud.com/metodologia.</w:t>
      </w:r>
    </w:p>
    <w:bookmarkEnd w:id="56"/>
    <w:bookmarkStart w:id="57" w:name="pesos-por-dimensión-e-indicador"/>
    <w:p>
      <w:pPr>
        <w:pStyle w:val="Heading2"/>
      </w:pPr>
      <w:r>
        <w:t xml:space="preserve">Pesos por dimensión e indicador</w:t>
      </w:r>
    </w:p>
    <w:tbl>
      <w:tblPr>
        <w:tblStyle w:val="Table"/>
        <w:tblLook w:firstRow="1" w:lastRow="0" w:firstColumn="0" w:lastColumn="0" w:noHBand="0" w:noVBand="0" w:val="0020"/>
        <w:jc w:val="start"/>
        <w:tblBorders>
          <w:top w:val="single" w:sz="4" w:color="BFC5CE"/>
          <w:bottom w:val="single" w:sz="4" w:color="BFC5CE"/>
          <w:insideH w:val="single" w:sz="4" w:color="BFC5CE"/>
          <w:left w:val="nil"/>
          <w:right w:val="nil"/>
          <w:insideV w:val="nil"/>
        </w:tblBorders>
        <w:tblLayout w:type="fixed"/>
        <w:tblW w:w="5000" w:type="pct"/>
      </w:tblPr>
      <w:tblGrid>
        <w:gridCol w:w="3352"/>
        <w:gridCol w:w="1626"/>
        <w:gridCol w:w="1626"/>
        <w:gridCol w:w="1626"/>
        <w:gridCol w:w="1626"/>
      </w:tblGrid>
      <w:tr>
        <w:trPr>
          <w:tblHeader w:val="true"/>
        </w:trPr>
        <w:tc>
          <w:tcPr>
            <w:tcW w:type="dxa" w:w="3352"/>
            <w:shd w:val="clear" w:color="auto" w:fill="EDEFF2"/>
          </w:tcPr>
          <w:p>
            <w:pPr>
              <w:pStyle w:val="Compact"/>
              <w:spacing w:after="20"/>
              <w:jc w:val="left"/>
            </w:pPr>
            <w:r>
              <w:rPr>
                <w:b/>
                <w:sz w:val="18"/>
              </w:rPr>
              <w:t xml:space="preserve">Dimensión</w:t>
            </w:r>
          </w:p>
        </w:tc>
        <w:tc>
          <w:tcPr>
            <w:tcW w:type="dxa" w:w="1627"/>
            <w:shd w:val="clear" w:color="auto" w:fill="EDEFF2"/>
          </w:tcPr>
          <w:p>
            <w:pPr>
              <w:pStyle w:val="Compact"/>
              <w:spacing w:after="20"/>
              <w:jc w:val="left"/>
            </w:pPr>
            <w:r>
              <w:rPr>
                <w:b/>
                <w:sz w:val="18"/>
              </w:rPr>
              <w:t xml:space="preserve">Normativo</w:t>
            </w:r>
          </w:p>
        </w:tc>
        <w:tc>
          <w:tcPr>
            <w:tcW w:type="dxa" w:w="1627"/>
            <w:shd w:val="clear" w:color="auto" w:fill="EDEFF2"/>
          </w:tcPr>
          <w:p>
            <w:pPr>
              <w:pStyle w:val="Compact"/>
              <w:spacing w:after="20"/>
              <w:jc w:val="left"/>
            </w:pPr>
            <w:r>
              <w:rPr>
                <w:b/>
                <w:sz w:val="18"/>
              </w:rPr>
              <w:t xml:space="preserve">AFM</w:t>
            </w:r>
          </w:p>
        </w:tc>
        <w:tc>
          <w:tcPr>
            <w:tcW w:type="dxa" w:w="1627"/>
            <w:shd w:val="clear" w:color="auto" w:fill="EDEFF2"/>
          </w:tcPr>
          <w:p>
            <w:pPr>
              <w:pStyle w:val="Compact"/>
              <w:spacing w:after="20"/>
              <w:jc w:val="left"/>
            </w:pPr>
            <w:r>
              <w:rPr>
                <w:b/>
                <w:sz w:val="18"/>
              </w:rPr>
              <w:t xml:space="preserve">Final</w:t>
            </w:r>
          </w:p>
        </w:tc>
        <w:tc>
          <w:tcPr>
            <w:tcW w:type="dxa" w:w="1627"/>
            <w:shd w:val="clear" w:color="auto" w:fill="EDEFF2"/>
          </w:tcPr>
          <w:p>
            <w:pPr>
              <w:pStyle w:val="Compact"/>
              <w:spacing w:after="20"/>
              <w:jc w:val="left"/>
            </w:pPr>
            <w:r>
              <w:rPr>
                <w:b/>
                <w:sz w:val="18"/>
              </w:rPr>
              <w:t xml:space="preserve">Indicadores (peso dentro de la dimensión)</w:t>
            </w:r>
          </w:p>
        </w:tc>
      </w:tr>
      <w:tr>
        <w:tc>
          <w:tcPr>
            <w:tcW w:type="dxa" w:w="3352"/>
          </w:tcPr>
          <w:p>
            <w:pPr>
              <w:pStyle w:val="Compact"/>
              <w:spacing w:after="20"/>
              <w:jc w:val="left"/>
            </w:pPr>
            <w:r>
              <w:rPr>
                <w:bCs/>
                <w:b/>
                <w:sz w:val="18"/>
              </w:rPr>
              <w:t xml:space="preserve">Mortalidad</w:t>
            </w:r>
          </w:p>
        </w:tc>
        <w:tc>
          <w:tcPr>
            <w:tcW w:type="dxa" w:w="1627"/>
          </w:tcPr>
          <w:p>
            <w:pPr>
              <w:pStyle w:val="Compact"/>
              <w:spacing w:after="20"/>
              <w:jc w:val="left"/>
            </w:pPr>
            <w:r>
              <w:rPr>
                <w:sz w:val="18"/>
              </w:rPr>
              <w:t xml:space="preserve">12 %</w:t>
            </w:r>
          </w:p>
        </w:tc>
        <w:tc>
          <w:tcPr>
            <w:tcW w:type="dxa" w:w="1627"/>
          </w:tcPr>
          <w:p>
            <w:pPr>
              <w:pStyle w:val="Compact"/>
              <w:spacing w:after="20"/>
              <w:jc w:val="left"/>
            </w:pPr>
            <w:r>
              <w:rPr>
                <w:sz w:val="18"/>
              </w:rPr>
              <w:t xml:space="preserve">12,7 %</w:t>
            </w:r>
          </w:p>
        </w:tc>
        <w:tc>
          <w:tcPr>
            <w:tcW w:type="dxa" w:w="1627"/>
          </w:tcPr>
          <w:p>
            <w:pPr>
              <w:pStyle w:val="Compact"/>
              <w:spacing w:after="20"/>
              <w:jc w:val="left"/>
            </w:pPr>
            <w:r>
              <w:rPr>
                <w:bCs/>
                <w:b/>
                <w:sz w:val="18"/>
              </w:rPr>
              <w:t xml:space="preserve">12,1 %</w:t>
            </w:r>
          </w:p>
        </w:tc>
        <w:tc>
          <w:tcPr>
            <w:tcW w:type="dxa" w:w="1627"/>
          </w:tcPr>
          <w:p>
            <w:pPr>
              <w:pStyle w:val="Compact"/>
              <w:spacing w:after="20"/>
              <w:jc w:val="left"/>
            </w:pPr>
            <w:r>
              <w:rPr>
                <w:sz w:val="18"/>
              </w:rPr>
              <w:t xml:space="preserve">Mortalidad general ajustada por edad (por 100.000, suavizada) (50 %); Años de vida potencialmente perdidos, tasa ajustada (suavizada) (50 %)</w:t>
            </w:r>
          </w:p>
        </w:tc>
      </w:tr>
      <w:tr>
        <w:tc>
          <w:tcPr>
            <w:tcW w:type="dxa" w:w="3352"/>
          </w:tcPr>
          <w:p>
            <w:pPr>
              <w:pStyle w:val="Compact"/>
              <w:spacing w:after="20"/>
              <w:jc w:val="left"/>
            </w:pPr>
            <w:r>
              <w:rPr>
                <w:bCs/>
                <w:b/>
                <w:sz w:val="18"/>
              </w:rPr>
              <w:t xml:space="preserve">Salud materno-infantil</w:t>
            </w:r>
          </w:p>
        </w:tc>
        <w:tc>
          <w:tcPr>
            <w:tcW w:type="dxa" w:w="1627"/>
          </w:tcPr>
          <w:p>
            <w:pPr>
              <w:pStyle w:val="Compact"/>
              <w:spacing w:after="20"/>
              <w:jc w:val="left"/>
            </w:pPr>
            <w:r>
              <w:rPr>
                <w:sz w:val="18"/>
              </w:rPr>
              <w:t xml:space="preserve">24 %</w:t>
            </w:r>
          </w:p>
        </w:tc>
        <w:tc>
          <w:tcPr>
            <w:tcW w:type="dxa" w:w="1627"/>
          </w:tcPr>
          <w:p>
            <w:pPr>
              <w:pStyle w:val="Compact"/>
              <w:spacing w:after="20"/>
              <w:jc w:val="left"/>
            </w:pPr>
            <w:r>
              <w:rPr>
                <w:sz w:val="18"/>
              </w:rPr>
              <w:t xml:space="preserve">18,8 %</w:t>
            </w:r>
          </w:p>
        </w:tc>
        <w:tc>
          <w:tcPr>
            <w:tcW w:type="dxa" w:w="1627"/>
          </w:tcPr>
          <w:p>
            <w:pPr>
              <w:pStyle w:val="Compact"/>
              <w:spacing w:after="20"/>
              <w:jc w:val="left"/>
            </w:pPr>
            <w:r>
              <w:rPr>
                <w:bCs/>
                <w:b/>
                <w:sz w:val="18"/>
              </w:rPr>
              <w:t xml:space="preserve">20,9 %</w:t>
            </w:r>
          </w:p>
        </w:tc>
        <w:tc>
          <w:tcPr>
            <w:tcW w:type="dxa" w:w="1627"/>
          </w:tcPr>
          <w:p>
            <w:pPr>
              <w:pStyle w:val="Compact"/>
              <w:spacing w:after="20"/>
              <w:jc w:val="left"/>
            </w:pPr>
            <w:r>
              <w:rPr>
                <w:sz w:val="18"/>
              </w:rPr>
              <w:t xml:space="preserve">Mortalidad infantil (por 1.000 nacidos vivos, 2020-2024) (29 %); Mortalidad en la niñez (por 1.000 nacidos vivos, 2020-2024) (30 %); Nacidos vivos con bajo peso al nacer (%, 2020-2024) (10 %); Nacidos vivos de madres de 10 a 14 años (%, 2020-2024) (14 %); Nacidos vivos de madres de 14 a 17 años (%, 2020-2024) (17 %)</w:t>
            </w:r>
          </w:p>
        </w:tc>
      </w:tr>
      <w:tr>
        <w:tc>
          <w:tcPr>
            <w:tcW w:type="dxa" w:w="3352"/>
          </w:tcPr>
          <w:p>
            <w:pPr>
              <w:pStyle w:val="Compact"/>
              <w:spacing w:after="20"/>
              <w:jc w:val="left"/>
            </w:pPr>
            <w:r>
              <w:rPr>
                <w:bCs/>
                <w:b/>
                <w:sz w:val="18"/>
              </w:rPr>
              <w:t xml:space="preserve">Pobreza y condiciones socioeconómicas</w:t>
            </w:r>
          </w:p>
        </w:tc>
        <w:tc>
          <w:tcPr>
            <w:tcW w:type="dxa" w:w="1627"/>
          </w:tcPr>
          <w:p>
            <w:pPr>
              <w:pStyle w:val="Compact"/>
              <w:spacing w:after="20"/>
              <w:jc w:val="left"/>
            </w:pPr>
            <w:r>
              <w:rPr>
                <w:sz w:val="18"/>
              </w:rPr>
              <w:t xml:space="preserve">20 %</w:t>
            </w:r>
          </w:p>
        </w:tc>
        <w:tc>
          <w:tcPr>
            <w:tcW w:type="dxa" w:w="1627"/>
          </w:tcPr>
          <w:p>
            <w:pPr>
              <w:pStyle w:val="Compact"/>
              <w:spacing w:after="20"/>
              <w:jc w:val="left"/>
            </w:pPr>
            <w:r>
              <w:rPr>
                <w:sz w:val="18"/>
              </w:rPr>
              <w:t xml:space="preserve">13,0 %</w:t>
            </w:r>
          </w:p>
        </w:tc>
        <w:tc>
          <w:tcPr>
            <w:tcW w:type="dxa" w:w="1627"/>
          </w:tcPr>
          <w:p>
            <w:pPr>
              <w:pStyle w:val="Compact"/>
              <w:spacing w:after="20"/>
              <w:jc w:val="left"/>
            </w:pPr>
            <w:r>
              <w:rPr>
                <w:bCs/>
                <w:b/>
                <w:sz w:val="18"/>
              </w:rPr>
              <w:t xml:space="preserve">16,2 %</w:t>
            </w:r>
          </w:p>
        </w:tc>
        <w:tc>
          <w:tcPr>
            <w:tcW w:type="dxa" w:w="1627"/>
          </w:tcPr>
          <w:p>
            <w:pPr>
              <w:pStyle w:val="Compact"/>
              <w:spacing w:after="20"/>
              <w:jc w:val="left"/>
            </w:pPr>
            <w:r>
              <w:rPr>
                <w:sz w:val="18"/>
              </w:rPr>
              <w:t xml:space="preserve">Pobreza multidimensional (IPM, %) (35 %); Dependencia económica (NBI, %) (36 %); Hacinamiento (NBI, %) (29 %)</w:t>
            </w:r>
          </w:p>
        </w:tc>
      </w:tr>
      <w:tr>
        <w:tc>
          <w:tcPr>
            <w:tcW w:type="dxa" w:w="3352"/>
          </w:tcPr>
          <w:p>
            <w:pPr>
              <w:pStyle w:val="Compact"/>
              <w:spacing w:after="20"/>
              <w:jc w:val="left"/>
            </w:pPr>
            <w:r>
              <w:rPr>
                <w:bCs/>
                <w:b/>
                <w:sz w:val="18"/>
              </w:rPr>
              <w:t xml:space="preserve">Vivienda, agua y saneamiento</w:t>
            </w:r>
          </w:p>
        </w:tc>
        <w:tc>
          <w:tcPr>
            <w:tcW w:type="dxa" w:w="1627"/>
          </w:tcPr>
          <w:p>
            <w:pPr>
              <w:pStyle w:val="Compact"/>
              <w:spacing w:after="20"/>
              <w:jc w:val="left"/>
            </w:pPr>
            <w:r>
              <w:rPr>
                <w:sz w:val="18"/>
              </w:rPr>
              <w:t xml:space="preserve">14 %</w:t>
            </w:r>
          </w:p>
        </w:tc>
        <w:tc>
          <w:tcPr>
            <w:tcW w:type="dxa" w:w="1627"/>
          </w:tcPr>
          <w:p>
            <w:pPr>
              <w:pStyle w:val="Compact"/>
              <w:spacing w:after="20"/>
              <w:jc w:val="left"/>
            </w:pPr>
            <w:r>
              <w:rPr>
                <w:sz w:val="18"/>
              </w:rPr>
              <w:t xml:space="preserve">14,2 %</w:t>
            </w:r>
          </w:p>
        </w:tc>
        <w:tc>
          <w:tcPr>
            <w:tcW w:type="dxa" w:w="1627"/>
          </w:tcPr>
          <w:p>
            <w:pPr>
              <w:pStyle w:val="Compact"/>
              <w:spacing w:after="20"/>
              <w:jc w:val="left"/>
            </w:pPr>
            <w:r>
              <w:rPr>
                <w:bCs/>
                <w:b/>
                <w:sz w:val="18"/>
              </w:rPr>
              <w:t xml:space="preserve">13,8 %</w:t>
            </w:r>
          </w:p>
        </w:tc>
        <w:tc>
          <w:tcPr>
            <w:tcW w:type="dxa" w:w="1627"/>
          </w:tcPr>
          <w:p>
            <w:pPr>
              <w:pStyle w:val="Compact"/>
              <w:spacing w:after="20"/>
              <w:jc w:val="left"/>
            </w:pPr>
            <w:r>
              <w:rPr>
                <w:sz w:val="18"/>
              </w:rPr>
              <w:t xml:space="preserve">Riesgo del agua para consumo, IRCA urbano (26 %); Vivienda inadecuada (NBI, %) (37 %); Servicios inadecuados (NBI, %) (37 %)</w:t>
            </w:r>
          </w:p>
        </w:tc>
      </w:tr>
      <w:tr>
        <w:tc>
          <w:tcPr>
            <w:tcW w:type="dxa" w:w="3352"/>
          </w:tcPr>
          <w:p>
            <w:pPr>
              <w:pStyle w:val="Compact"/>
              <w:spacing w:after="20"/>
              <w:jc w:val="left"/>
            </w:pPr>
            <w:r>
              <w:rPr>
                <w:bCs/>
                <w:b/>
                <w:sz w:val="18"/>
              </w:rPr>
              <w:t xml:space="preserve">Educación</w:t>
            </w:r>
          </w:p>
        </w:tc>
        <w:tc>
          <w:tcPr>
            <w:tcW w:type="dxa" w:w="1627"/>
          </w:tcPr>
          <w:p>
            <w:pPr>
              <w:pStyle w:val="Compact"/>
              <w:spacing w:after="20"/>
              <w:jc w:val="left"/>
            </w:pPr>
            <w:r>
              <w:rPr>
                <w:sz w:val="18"/>
              </w:rPr>
              <w:t xml:space="preserve">12 %</w:t>
            </w:r>
          </w:p>
        </w:tc>
        <w:tc>
          <w:tcPr>
            <w:tcW w:type="dxa" w:w="1627"/>
          </w:tcPr>
          <w:p>
            <w:pPr>
              <w:pStyle w:val="Compact"/>
              <w:spacing w:after="20"/>
              <w:jc w:val="left"/>
            </w:pPr>
            <w:r>
              <w:rPr>
                <w:sz w:val="18"/>
              </w:rPr>
              <w:t xml:space="preserve">13,3 %</w:t>
            </w:r>
          </w:p>
        </w:tc>
        <w:tc>
          <w:tcPr>
            <w:tcW w:type="dxa" w:w="1627"/>
          </w:tcPr>
          <w:p>
            <w:pPr>
              <w:pStyle w:val="Compact"/>
              <w:spacing w:after="20"/>
              <w:jc w:val="left"/>
            </w:pPr>
            <w:r>
              <w:rPr>
                <w:bCs/>
                <w:b/>
                <w:sz w:val="18"/>
              </w:rPr>
              <w:t xml:space="preserve">12,3 %</w:t>
            </w:r>
          </w:p>
        </w:tc>
        <w:tc>
          <w:tcPr>
            <w:tcW w:type="dxa" w:w="1627"/>
          </w:tcPr>
          <w:p>
            <w:pPr>
              <w:pStyle w:val="Compact"/>
              <w:spacing w:after="20"/>
              <w:jc w:val="left"/>
            </w:pPr>
            <w:r>
              <w:rPr>
                <w:sz w:val="18"/>
              </w:rPr>
              <w:t xml:space="preserve">Cobertura neta en educación (%) (28 %); Cobertura neta en secundaria (%) (30 %); Cobertura neta en media (%) (28 %); Inasistencia escolar (NBI, %) (14 %)</w:t>
            </w:r>
          </w:p>
        </w:tc>
      </w:tr>
      <w:tr>
        <w:tc>
          <w:tcPr>
            <w:tcW w:type="dxa" w:w="3352"/>
          </w:tcPr>
          <w:p>
            <w:pPr>
              <w:pStyle w:val="Compact"/>
              <w:spacing w:after="20"/>
              <w:jc w:val="left"/>
            </w:pPr>
            <w:r>
              <w:rPr>
                <w:bCs/>
                <w:b/>
                <w:sz w:val="18"/>
              </w:rPr>
              <w:t xml:space="preserve">Aseguramiento y acceso a servicios</w:t>
            </w:r>
          </w:p>
        </w:tc>
        <w:tc>
          <w:tcPr>
            <w:tcW w:type="dxa" w:w="1627"/>
          </w:tcPr>
          <w:p>
            <w:pPr>
              <w:pStyle w:val="Compact"/>
              <w:spacing w:after="20"/>
              <w:jc w:val="left"/>
            </w:pPr>
            <w:r>
              <w:rPr>
                <w:sz w:val="18"/>
              </w:rPr>
              <w:t xml:space="preserve">13 %</w:t>
            </w:r>
          </w:p>
        </w:tc>
        <w:tc>
          <w:tcPr>
            <w:tcW w:type="dxa" w:w="1627"/>
          </w:tcPr>
          <w:p>
            <w:pPr>
              <w:pStyle w:val="Compact"/>
              <w:spacing w:after="20"/>
              <w:jc w:val="left"/>
            </w:pPr>
            <w:r>
              <w:rPr>
                <w:sz w:val="18"/>
              </w:rPr>
              <w:t xml:space="preserve">28,0 %</w:t>
            </w:r>
          </w:p>
        </w:tc>
        <w:tc>
          <w:tcPr>
            <w:tcW w:type="dxa" w:w="1627"/>
          </w:tcPr>
          <w:p>
            <w:pPr>
              <w:pStyle w:val="Compact"/>
              <w:spacing w:after="20"/>
              <w:jc w:val="left"/>
            </w:pPr>
            <w:r>
              <w:rPr>
                <w:bCs/>
                <w:b/>
                <w:sz w:val="18"/>
              </w:rPr>
              <w:t xml:space="preserve">19,8 %</w:t>
            </w:r>
          </w:p>
        </w:tc>
        <w:tc>
          <w:tcPr>
            <w:tcW w:type="dxa" w:w="1627"/>
          </w:tcPr>
          <w:p>
            <w:pPr>
              <w:pStyle w:val="Compact"/>
              <w:spacing w:after="20"/>
              <w:jc w:val="left"/>
            </w:pPr>
            <w:r>
              <w:rPr>
                <w:sz w:val="18"/>
              </w:rPr>
              <w:t xml:space="preserve">Población afiliada a salud (%) (11 %); Vacunación pentavalente 3.ª dosis (%) (19 %); Vacunación triple viral (%) (15 %); Nacidos vivos con 4 o más controles prenatales (%, 2020-2024) (28 %); Partos institucionales (%, 2020-2024) (27 %)</w:t>
            </w:r>
          </w:p>
        </w:tc>
      </w:tr>
      <w:tr>
        <w:tc>
          <w:tcPr>
            <w:tcW w:type="dxa" w:w="3352"/>
          </w:tcPr>
          <w:p>
            <w:pPr>
              <w:pStyle w:val="Compact"/>
              <w:spacing w:after="20"/>
              <w:jc w:val="left"/>
            </w:pPr>
            <w:r>
              <w:rPr>
                <w:bCs/>
                <w:b/>
                <w:sz w:val="18"/>
              </w:rPr>
              <w:t xml:space="preserve">Estructura demográfica</w:t>
            </w:r>
          </w:p>
        </w:tc>
        <w:tc>
          <w:tcPr>
            <w:tcW w:type="dxa" w:w="1627"/>
          </w:tcPr>
          <w:p>
            <w:pPr>
              <w:pStyle w:val="Compact"/>
              <w:spacing w:after="20"/>
              <w:jc w:val="left"/>
            </w:pPr>
            <w:r>
              <w:rPr>
                <w:sz w:val="18"/>
              </w:rPr>
              <w:t xml:space="preserve">5 %</w:t>
            </w:r>
          </w:p>
        </w:tc>
        <w:tc>
          <w:tcPr>
            <w:tcW w:type="dxa" w:w="1627"/>
          </w:tcPr>
          <w:p>
            <w:pPr>
              <w:pStyle w:val="Compact"/>
              <w:spacing w:after="20"/>
              <w:jc w:val="left"/>
            </w:pPr>
            <w:r>
              <w:rPr>
                <w:sz w:val="18"/>
              </w:rPr>
              <w:t xml:space="preserve">— (solo normativo)</w:t>
            </w:r>
          </w:p>
        </w:tc>
        <w:tc>
          <w:tcPr>
            <w:tcW w:type="dxa" w:w="1627"/>
          </w:tcPr>
          <w:p>
            <w:pPr>
              <w:pStyle w:val="Compact"/>
              <w:spacing w:after="20"/>
              <w:jc w:val="left"/>
            </w:pPr>
            <w:r>
              <w:rPr>
                <w:bCs/>
                <w:b/>
                <w:sz w:val="18"/>
              </w:rPr>
              <w:t xml:space="preserve">5,0 %</w:t>
            </w:r>
          </w:p>
        </w:tc>
        <w:tc>
          <w:tcPr>
            <w:tcW w:type="dxa" w:w="1627"/>
          </w:tcPr>
          <w:p>
            <w:pPr>
              <w:pStyle w:val="Compact"/>
              <w:spacing w:after="20"/>
              <w:jc w:val="left"/>
            </w:pPr>
            <w:r>
              <w:rPr>
                <w:sz w:val="18"/>
              </w:rPr>
              <w:t xml:space="preserve">Índice de dependencia demográfica (2026) (100 %)</w:t>
            </w:r>
          </w:p>
        </w:tc>
      </w:tr>
    </w:tbl>
    <w:bookmarkEnd w:id="57"/>
    <w:bookmarkEnd w:id="58"/>
    <w:bookmarkEnd w:id="59"/>
    <w:bookmarkStart w:id="112" w:name="anexo-c"/>
    <w:bookmarkStart w:id="111" w:name="diccionario-de-indicadores"/>
    <w:p>
      <w:pPr>
        <w:pStyle w:val="Heading1"/>
      </w:pPr>
      <w:r>
        <w:t xml:space="preserve">Diccionario de indicadores</w:t>
      </w:r>
    </w:p>
    <w:bookmarkStart w:id="62" w:name="demografía"/>
    <w:p>
      <w:pPr>
        <w:pStyle w:val="Heading3"/>
      </w:pPr>
      <w:r>
        <w:t xml:space="preserve">Demografía</w:t>
      </w:r>
    </w:p>
    <w:bookmarkStart w:id="61" w:name="ind-dependencia_demografica"/>
    <w:bookmarkStart w:id="60" w:name="Xe3f361a3b9a9a1eb60021c772c19e92133b67e6"/>
    <w:p>
      <w:pPr>
        <w:pStyle w:val="Heading4"/>
      </w:pPr>
      <w:r>
        <w:t xml:space="preserve">Índice demográfico de dependencia (índice municipal)</w:t>
      </w:r>
    </w:p>
    <w:p>
      <w:pPr>
        <w:pStyle w:val="FirstParagraph"/>
      </w:pPr>
      <w:r>
        <w:t xml:space="preserve">Cuántas personas en edades dependientes hay por cada 100 en edad de trabajar; en el índice municipal entra como presión demográfica sobre los hogares.</w:t>
      </w:r>
    </w:p>
    <w:p>
      <w:pPr>
        <w:pStyle w:val="DefinitionTerm"/>
      </w:pPr>
      <w:r>
        <w:t xml:space="preserve">Cálculo</w:t>
      </w:r>
    </w:p>
    <w:p>
      <w:pPr>
        <w:pStyle w:val="Definition"/>
      </w:pPr>
      <w:r>
        <w:t xml:space="preserve">(Población de 0 a 14 + población de 65 y más) / población de 15 a 64 × 100, año del ASIS.</w:t>
      </w:r>
      <w:r>
        <w:t xml:space="preserve"> </w:t>
      </w:r>
      <w:r>
        <w:t xml:space="preserve">(personas por 100)</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En el ranking, más dependencia resta puntos en la dimensión demográfica.</w:t>
      </w:r>
    </w:p>
    <w:p>
      <w:pPr>
        <w:pStyle w:val="DefinitionTerm"/>
      </w:pPr>
      <w:r>
        <w:t xml:space="preserve">Limitaciones</w:t>
      </w:r>
    </w:p>
    <w:p>
      <w:pPr>
        <w:pStyle w:val="Definition"/>
      </w:pPr>
      <w:r>
        <w:t xml:space="preserve">Supone que todas las personas de 15 a 64 trabajan.</w:t>
      </w:r>
    </w:p>
    <w:p>
      <w:pPr>
        <w:pStyle w:val="DefinitionTerm"/>
      </w:pPr>
      <w:r>
        <w:t xml:space="preserve">Fuente</w:t>
      </w:r>
    </w:p>
    <w:p>
      <w:pPr>
        <w:pStyle w:val="Definition"/>
      </w:pPr>
      <w:r>
        <w:t xml:space="preserve">DANE, proyecciones de población municipal 2018-2042 (bases ASIS 2026, Minsalud) · 2026 · anual. Referencia: Minsalud, Guía para la actualización del ASIS 2026</w:t>
      </w:r>
    </w:p>
    <w:bookmarkEnd w:id="60"/>
    <w:bookmarkEnd w:id="61"/>
    <w:bookmarkEnd w:id="62"/>
    <w:bookmarkStart w:id="83" w:name="condiciones-de-vida"/>
    <w:p>
      <w:pPr>
        <w:pStyle w:val="Heading3"/>
      </w:pPr>
      <w:r>
        <w:t xml:space="preserve">Condiciones de vida</w:t>
      </w:r>
    </w:p>
    <w:bookmarkStart w:id="64" w:name="ind-ipm_total"/>
    <w:bookmarkStart w:id="63" w:name="Xe95b558ddd678986a0f82d65bb84d7cf10ba6d6"/>
    <w:p>
      <w:pPr>
        <w:pStyle w:val="Heading4"/>
      </w:pPr>
      <w:r>
        <w:t xml:space="preserve">Índice de pobreza multidimensional (IPM), total</w:t>
      </w:r>
    </w:p>
    <w:p>
      <w:pPr>
        <w:pStyle w:val="FirstParagraph"/>
      </w:pPr>
      <w:r>
        <w:t xml:space="preserve">Porcentaje de personas en hogares con privaciones en al menos un tercio de 15 indicadores de educación, niñez, trabajo, salud y vivienda.</w:t>
      </w:r>
    </w:p>
    <w:p>
      <w:pPr>
        <w:pStyle w:val="DefinitionTerm"/>
      </w:pPr>
      <w:r>
        <w:t xml:space="preserve">Cálculo</w:t>
      </w:r>
    </w:p>
    <w:p>
      <w:pPr>
        <w:pStyle w:val="Definition"/>
      </w:pPr>
      <w:r>
        <w:t xml:space="preserve">Personas en hogares con privación ponderada ≥ 33,3 %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Es el mejor resumen de pobreza municipal disponible: si es alto, varios desenlaces de salud tienden a ser peores.</w:t>
      </w:r>
    </w:p>
    <w:p>
      <w:pPr>
        <w:pStyle w:val="DefinitionTerm"/>
      </w:pPr>
      <w:r>
        <w:t xml:space="preserve">Limitaciones</w:t>
      </w:r>
    </w:p>
    <w:p>
      <w:pPr>
        <w:pStyle w:val="Definition"/>
      </w:pPr>
      <w:r>
        <w:t xml:space="preserve">Es del censo 2018: no recoge cambios posteriores.</w:t>
      </w:r>
    </w:p>
    <w:p>
      <w:pPr>
        <w:pStyle w:val="DefinitionTerm"/>
      </w:pPr>
      <w:r>
        <w:t xml:space="preserve">Fuente</w:t>
      </w:r>
    </w:p>
    <w:p>
      <w:pPr>
        <w:pStyle w:val="Definition"/>
      </w:pPr>
      <w:r>
        <w:t xml:space="preserve">DANE, CNPV 2018, medida de pobreza multidimensional municipal · 2018 · censal. Referencia: Minsalud, Guía para la actualización del ASIS 2026</w:t>
      </w:r>
    </w:p>
    <w:bookmarkEnd w:id="63"/>
    <w:bookmarkEnd w:id="64"/>
    <w:bookmarkStart w:id="66" w:name="ind-nbi_dependencia"/>
    <w:bookmarkStart w:id="65" w:name="dependencia-económica-nbi"/>
    <w:p>
      <w:pPr>
        <w:pStyle w:val="Heading4"/>
      </w:pPr>
      <w:r>
        <w:t xml:space="preserve">Dependencia económica (NBI)</w:t>
      </w:r>
    </w:p>
    <w:p>
      <w:pPr>
        <w:pStyle w:val="FirstParagraph"/>
      </w:pPr>
      <w:r>
        <w:t xml:space="preserve">Personas en hogares con más de tres personas por ocupado y jefe con baja escolaridad.</w:t>
      </w:r>
    </w:p>
    <w:p>
      <w:pPr>
        <w:pStyle w:val="DefinitionTerm"/>
      </w:pPr>
      <w:r>
        <w:t xml:space="preserve">Cálculo</w:t>
      </w:r>
    </w:p>
    <w:p>
      <w:pPr>
        <w:pStyle w:val="Definition"/>
      </w:pPr>
      <w:r>
        <w:t xml:space="preserve">Personas en hogares con alta dependencia económica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Indica hogares con poca capacidad de pago ante gastos de salud.</w:t>
      </w:r>
    </w:p>
    <w:p>
      <w:pPr>
        <w:pStyle w:val="DefinitionTerm"/>
      </w:pPr>
      <w:r>
        <w:t xml:space="preserve">Limitaciones</w:t>
      </w:r>
    </w:p>
    <w:p>
      <w:pPr>
        <w:pStyle w:val="Definition"/>
      </w:pPr>
      <w:r>
        <w:t xml:space="preserve">Censo 2018.</w:t>
      </w:r>
    </w:p>
    <w:p>
      <w:pPr>
        <w:pStyle w:val="DefinitionTerm"/>
      </w:pPr>
      <w:r>
        <w:t xml:space="preserve">Fuente</w:t>
      </w:r>
    </w:p>
    <w:p>
      <w:pPr>
        <w:pStyle w:val="Definition"/>
      </w:pPr>
      <w:r>
        <w:t xml:space="preserve">DANE, Censo Nacional de Población y Vivienda 2018, necesidades básicas insatisfechas · 2018 · censal. Referencia: Minsalud, Guía para la actualización del ASIS 2026</w:t>
      </w:r>
    </w:p>
    <w:bookmarkEnd w:id="65"/>
    <w:bookmarkEnd w:id="66"/>
    <w:bookmarkStart w:id="68" w:name="ind-nbi_hacinamiento"/>
    <w:bookmarkStart w:id="67" w:name="hacinamiento-crítico-nbi"/>
    <w:p>
      <w:pPr>
        <w:pStyle w:val="Heading4"/>
      </w:pPr>
      <w:r>
        <w:t xml:space="preserve">Hacinamiento crítico (NBI)</w:t>
      </w:r>
    </w:p>
    <w:p>
      <w:pPr>
        <w:pStyle w:val="FirstParagraph"/>
      </w:pPr>
      <w:r>
        <w:t xml:space="preserve">Personas en hogares con más de tres personas por cuarto.</w:t>
      </w:r>
    </w:p>
    <w:p>
      <w:pPr>
        <w:pStyle w:val="DefinitionTerm"/>
      </w:pPr>
      <w:r>
        <w:t xml:space="preserve">Cálculo</w:t>
      </w:r>
    </w:p>
    <w:p>
      <w:pPr>
        <w:pStyle w:val="Definition"/>
      </w:pPr>
      <w:r>
        <w:t xml:space="preserve">Personas en hacinamiento crítico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Se asocia con transmisión de tuberculosis e infecciones respiratorias.</w:t>
      </w:r>
    </w:p>
    <w:p>
      <w:pPr>
        <w:pStyle w:val="DefinitionTerm"/>
      </w:pPr>
      <w:r>
        <w:t xml:space="preserve">Limitaciones</w:t>
      </w:r>
    </w:p>
    <w:p>
      <w:pPr>
        <w:pStyle w:val="Definition"/>
      </w:pPr>
      <w:r>
        <w:t xml:space="preserve">Censo 2018.</w:t>
      </w:r>
    </w:p>
    <w:p>
      <w:pPr>
        <w:pStyle w:val="DefinitionTerm"/>
      </w:pPr>
      <w:r>
        <w:t xml:space="preserve">Fuente</w:t>
      </w:r>
    </w:p>
    <w:p>
      <w:pPr>
        <w:pStyle w:val="Definition"/>
      </w:pPr>
      <w:r>
        <w:t xml:space="preserve">DANE, Censo Nacional de Población y Vivienda 2018, necesidades básicas insatisfechas · 2018 · censal. Referencia: Minsalud, Guía para la actualización del ASIS 2026</w:t>
      </w:r>
    </w:p>
    <w:bookmarkEnd w:id="67"/>
    <w:bookmarkEnd w:id="68"/>
    <w:bookmarkStart w:id="70" w:name="ind-irca_urbano"/>
    <w:bookmarkStart w:id="69" w:name="Xc1a878d81eb2291d94c3ea2cb0559fb7e6dea60"/>
    <w:p>
      <w:pPr>
        <w:pStyle w:val="Heading4"/>
      </w:pPr>
      <w:r>
        <w:t xml:space="preserve">Índice de riesgo de la calidad del agua (IRCA) urbano</w:t>
      </w:r>
    </w:p>
    <w:p>
      <w:pPr>
        <w:pStyle w:val="FirstParagraph"/>
      </w:pPr>
      <w:r>
        <w:t xml:space="preserve">Riesgo para la salud del agua que llega a la cabecera, según los análisis de laboratorio de vigilancia.</w:t>
      </w:r>
    </w:p>
    <w:p>
      <w:pPr>
        <w:pStyle w:val="DefinitionTerm"/>
      </w:pPr>
      <w:r>
        <w:t xml:space="preserve">Cálculo</w:t>
      </w:r>
    </w:p>
    <w:p>
      <w:pPr>
        <w:pStyle w:val="Definition"/>
      </w:pPr>
      <w:r>
        <w:t xml:space="preserve">Suma de los puntajes de riesgo de las características no aceptables / suma de los puntajes de todas las características analizadas × 100, promedio anual.</w:t>
      </w:r>
      <w:r>
        <w:t xml:space="preserve"> </w:t>
      </w:r>
      <w:r>
        <w:t xml:space="preserve">(puntos (0-100))</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0-5: sin riesgo; 5,1-14: bajo; 14,1-35: medio; 35,1-80: alto; más de 80: inviable sanitariamente.</w:t>
      </w:r>
    </w:p>
    <w:p>
      <w:pPr>
        <w:pStyle w:val="DefinitionTerm"/>
      </w:pPr>
      <w:r>
        <w:t xml:space="preserve">Limitaciones</w:t>
      </w:r>
    </w:p>
    <w:p>
      <w:pPr>
        <w:pStyle w:val="Definition"/>
      </w:pPr>
      <w:r>
        <w:t xml:space="preserve">Depende de cuántas muestras se tomaron: con pocas muestras el valor es inestable.</w:t>
      </w:r>
    </w:p>
    <w:p>
      <w:pPr>
        <w:pStyle w:val="DefinitionTerm"/>
      </w:pPr>
      <w:r>
        <w:t xml:space="preserve">Fuente</w:t>
      </w:r>
    </w:p>
    <w:p>
      <w:pPr>
        <w:pStyle w:val="Definition"/>
      </w:pPr>
      <w:r>
        <w:t xml:space="preserve">INS-SIVICAP, informe consolidado del IRCA anual (Decreto 1575 de 2007) · 2024 · anual. Referencia: Minsalud, Guía para la actualización del ASIS 2026</w:t>
      </w:r>
    </w:p>
    <w:bookmarkEnd w:id="69"/>
    <w:bookmarkEnd w:id="70"/>
    <w:bookmarkStart w:id="72" w:name="ind-nbi_vivienda"/>
    <w:bookmarkStart w:id="71" w:name="hogares-con-vivienda-inadecuada-nbi"/>
    <w:p>
      <w:pPr>
        <w:pStyle w:val="Heading4"/>
      </w:pPr>
      <w:r>
        <w:t xml:space="preserve">Hogares con vivienda inadecuada (NBI)</w:t>
      </w:r>
    </w:p>
    <w:p>
      <w:pPr>
        <w:pStyle w:val="FirstParagraph"/>
      </w:pPr>
      <w:r>
        <w:t xml:space="preserve">Personas en viviendas con pisos de tierra o paredes de materiales precarios.</w:t>
      </w:r>
    </w:p>
    <w:p>
      <w:pPr>
        <w:pStyle w:val="DefinitionTerm"/>
      </w:pPr>
      <w:r>
        <w:t xml:space="preserve">Cálculo</w:t>
      </w:r>
    </w:p>
    <w:p>
      <w:pPr>
        <w:pStyle w:val="Definition"/>
      </w:pPr>
      <w:r>
        <w:t xml:space="preserve">Personas en vivienda inadecuada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Se asocia con enfermedades respiratorias, parasitarias y transmitidas por vectores.</w:t>
      </w:r>
    </w:p>
    <w:p>
      <w:pPr>
        <w:pStyle w:val="DefinitionTerm"/>
      </w:pPr>
      <w:r>
        <w:t xml:space="preserve">Limitaciones</w:t>
      </w:r>
    </w:p>
    <w:p>
      <w:pPr>
        <w:pStyle w:val="Definition"/>
      </w:pPr>
      <w:r>
        <w:t xml:space="preserve">Censo 2018.</w:t>
      </w:r>
    </w:p>
    <w:p>
      <w:pPr>
        <w:pStyle w:val="DefinitionTerm"/>
      </w:pPr>
      <w:r>
        <w:t xml:space="preserve">Fuente</w:t>
      </w:r>
    </w:p>
    <w:p>
      <w:pPr>
        <w:pStyle w:val="Definition"/>
      </w:pPr>
      <w:r>
        <w:t xml:space="preserve">DANE, Censo Nacional de Población y Vivienda 2018, necesidades básicas insatisfechas · 2018 · censal. Referencia: Minsalud, Guía para la actualización del ASIS 2026</w:t>
      </w:r>
    </w:p>
    <w:bookmarkEnd w:id="71"/>
    <w:bookmarkEnd w:id="72"/>
    <w:bookmarkStart w:id="74" w:name="ind-nbi_servicios"/>
    <w:bookmarkStart w:id="73" w:name="hogares-sin-servicios-básicos-nbi"/>
    <w:p>
      <w:pPr>
        <w:pStyle w:val="Heading4"/>
      </w:pPr>
      <w:r>
        <w:t xml:space="preserve">Hogares sin servicios básicos (NBI)</w:t>
      </w:r>
    </w:p>
    <w:p>
      <w:pPr>
        <w:pStyle w:val="FirstParagraph"/>
      </w:pPr>
      <w:r>
        <w:t xml:space="preserve">Personas en viviendas sin acueducto o sin sanitario adecuado.</w:t>
      </w:r>
    </w:p>
    <w:p>
      <w:pPr>
        <w:pStyle w:val="DefinitionTerm"/>
      </w:pPr>
      <w:r>
        <w:t xml:space="preserve">Cálculo</w:t>
      </w:r>
    </w:p>
    <w:p>
      <w:pPr>
        <w:pStyle w:val="Definition"/>
      </w:pPr>
      <w:r>
        <w:t xml:space="preserve">Personas con servicios inadecuados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Se asocia con enfermedad diarreica aguda y parasitosis.</w:t>
      </w:r>
    </w:p>
    <w:p>
      <w:pPr>
        <w:pStyle w:val="DefinitionTerm"/>
      </w:pPr>
      <w:r>
        <w:t xml:space="preserve">Limitaciones</w:t>
      </w:r>
    </w:p>
    <w:p>
      <w:pPr>
        <w:pStyle w:val="Definition"/>
      </w:pPr>
      <w:r>
        <w:t xml:space="preserve">Censo 2018; la definición urbana y rural es distinta.</w:t>
      </w:r>
    </w:p>
    <w:p>
      <w:pPr>
        <w:pStyle w:val="DefinitionTerm"/>
      </w:pPr>
      <w:r>
        <w:t xml:space="preserve">Fuente</w:t>
      </w:r>
    </w:p>
    <w:p>
      <w:pPr>
        <w:pStyle w:val="Definition"/>
      </w:pPr>
      <w:r>
        <w:t xml:space="preserve">DANE, Censo Nacional de Población y Vivienda 2018, necesidades básicas insatisfechas · 2018 · censal. Referencia: Minsalud, Guía para la actualización del ASIS 2026</w:t>
      </w:r>
    </w:p>
    <w:bookmarkEnd w:id="73"/>
    <w:bookmarkEnd w:id="74"/>
    <w:bookmarkStart w:id="76" w:name="ind-cobertura_neta"/>
    <w:bookmarkStart w:id="75" w:name="cobertura-neta-en-educación-5-16-años"/>
    <w:p>
      <w:pPr>
        <w:pStyle w:val="Heading4"/>
      </w:pPr>
      <w:r>
        <w:t xml:space="preserve">Cobertura neta en educación (5-16 años)</w:t>
      </w:r>
    </w:p>
    <w:p>
      <w:pPr>
        <w:pStyle w:val="FirstParagraph"/>
      </w:pPr>
      <w:r>
        <w:t xml:space="preserve">Porcentaje de niños y adolescentes de 5 a 16 años matriculados en el nivel que les corresponde por edad.</w:t>
      </w:r>
    </w:p>
    <w:p>
      <w:pPr>
        <w:pStyle w:val="DefinitionTerm"/>
      </w:pPr>
      <w:r>
        <w:t xml:space="preserve">Cálculo</w:t>
      </w:r>
    </w:p>
    <w:p>
      <w:pPr>
        <w:pStyle w:val="Definition"/>
      </w:pPr>
      <w:r>
        <w:t xml:space="preserve">Matriculados en edad teórica / población de 5 a 16 años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Por debajo de la referencia indica deserción o barreras de acceso a la escuela.</w:t>
      </w:r>
    </w:p>
    <w:p>
      <w:pPr>
        <w:pStyle w:val="DefinitionTerm"/>
      </w:pPr>
      <w:r>
        <w:t xml:space="preserve">Limitaciones</w:t>
      </w:r>
    </w:p>
    <w:p>
      <w:pPr>
        <w:pStyle w:val="Definition"/>
      </w:pPr>
      <w:r>
        <w:t xml:space="preserve">Usa proyecciones de población: en municipios pequeños puede pasar de 100 %.</w:t>
      </w:r>
    </w:p>
    <w:p>
      <w:pPr>
        <w:pStyle w:val="DefinitionTerm"/>
      </w:pPr>
      <w:r>
        <w:t xml:space="preserve">Fuente</w:t>
      </w:r>
    </w:p>
    <w:p>
      <w:pPr>
        <w:pStyle w:val="Definition"/>
      </w:pPr>
      <w:r>
        <w:t xml:space="preserve">Ministerio de Educación Nacional, coberturas educativas municipales · 2024 · anual. Referencia: Minsalud, Guía para la actualización del ASIS 2026</w:t>
      </w:r>
    </w:p>
    <w:bookmarkEnd w:id="75"/>
    <w:bookmarkEnd w:id="76"/>
    <w:bookmarkStart w:id="78" w:name="ind-cobertura_neta_secundaria"/>
    <w:bookmarkStart w:id="77" w:name="cobertura-neta-en-secundaria"/>
    <w:p>
      <w:pPr>
        <w:pStyle w:val="Heading4"/>
      </w:pPr>
      <w:r>
        <w:t xml:space="preserve">Cobertura neta en secundaria</w:t>
      </w:r>
    </w:p>
    <w:p>
      <w:pPr>
        <w:pStyle w:val="FirstParagraph"/>
      </w:pPr>
      <w:r>
        <w:t xml:space="preserve">Porcentaje de adolescentes de 11 a 14 años matriculados en secundaria.</w:t>
      </w:r>
    </w:p>
    <w:p>
      <w:pPr>
        <w:pStyle w:val="DefinitionTerm"/>
      </w:pPr>
      <w:r>
        <w:t xml:space="preserve">Cálculo</w:t>
      </w:r>
    </w:p>
    <w:p>
      <w:pPr>
        <w:pStyle w:val="Definition"/>
      </w:pPr>
      <w:r>
        <w:t xml:space="preserve">Matriculados en secundaria de 11 a 14 años / población de 11 a 14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Una caída frente a primaria señala abandono temprano.</w:t>
      </w:r>
    </w:p>
    <w:p>
      <w:pPr>
        <w:pStyle w:val="DefinitionTerm"/>
      </w:pPr>
      <w:r>
        <w:t xml:space="preserve">Limitaciones</w:t>
      </w:r>
    </w:p>
    <w:p>
      <w:pPr>
        <w:pStyle w:val="Definition"/>
      </w:pPr>
      <w:r>
        <w:t xml:space="preserve">Matrícula en otro municipio no se cuenta.</w:t>
      </w:r>
    </w:p>
    <w:p>
      <w:pPr>
        <w:pStyle w:val="DefinitionTerm"/>
      </w:pPr>
      <w:r>
        <w:t xml:space="preserve">Fuente</w:t>
      </w:r>
    </w:p>
    <w:p>
      <w:pPr>
        <w:pStyle w:val="Definition"/>
      </w:pPr>
      <w:r>
        <w:t xml:space="preserve">Ministerio de Educación Nacional, coberturas educativas municipales · 2024 · anual. Referencia: Minsalud, Guía para la actualización del ASIS 2026</w:t>
      </w:r>
    </w:p>
    <w:bookmarkEnd w:id="77"/>
    <w:bookmarkEnd w:id="78"/>
    <w:bookmarkStart w:id="80" w:name="ind-cobertura_neta_media"/>
    <w:bookmarkStart w:id="79" w:name="cobertura-neta-en-educación-media"/>
    <w:p>
      <w:pPr>
        <w:pStyle w:val="Heading4"/>
      </w:pPr>
      <w:r>
        <w:t xml:space="preserve">Cobertura neta en educación media</w:t>
      </w:r>
    </w:p>
    <w:p>
      <w:pPr>
        <w:pStyle w:val="FirstParagraph"/>
      </w:pPr>
      <w:r>
        <w:t xml:space="preserve">Porcentaje de jóvenes de 15 y 16 años matriculados en media.</w:t>
      </w:r>
    </w:p>
    <w:p>
      <w:pPr>
        <w:pStyle w:val="DefinitionTerm"/>
      </w:pPr>
      <w:r>
        <w:t xml:space="preserve">Cálculo</w:t>
      </w:r>
    </w:p>
    <w:p>
      <w:pPr>
        <w:pStyle w:val="Definition"/>
      </w:pPr>
      <w:r>
        <w:t xml:space="preserve">Matriculados en media de 15 a 16 años / población de 15 a 16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Si es baja, priorice acciones con jóvenes que dejaron el colegio.</w:t>
      </w:r>
    </w:p>
    <w:p>
      <w:pPr>
        <w:pStyle w:val="DefinitionTerm"/>
      </w:pPr>
      <w:r>
        <w:t xml:space="preserve">Limitaciones</w:t>
      </w:r>
    </w:p>
    <w:p>
      <w:pPr>
        <w:pStyle w:val="Definition"/>
      </w:pPr>
      <w:r>
        <w:t xml:space="preserve">Matrícula en otro municipio no se cuenta.</w:t>
      </w:r>
    </w:p>
    <w:p>
      <w:pPr>
        <w:pStyle w:val="DefinitionTerm"/>
      </w:pPr>
      <w:r>
        <w:t xml:space="preserve">Fuente</w:t>
      </w:r>
    </w:p>
    <w:p>
      <w:pPr>
        <w:pStyle w:val="Definition"/>
      </w:pPr>
      <w:r>
        <w:t xml:space="preserve">Ministerio de Educación Nacional, coberturas educativas municipales · 2024 · anual. Referencia: Minsalud, Guía para la actualización del ASIS 2026</w:t>
      </w:r>
    </w:p>
    <w:bookmarkEnd w:id="79"/>
    <w:bookmarkEnd w:id="80"/>
    <w:bookmarkStart w:id="82" w:name="ind-nbi_inasistencia"/>
    <w:bookmarkStart w:id="81" w:name="inasistencia-escolar-nbi"/>
    <w:p>
      <w:pPr>
        <w:pStyle w:val="Heading4"/>
      </w:pPr>
      <w:r>
        <w:t xml:space="preserve">Inasistencia escolar (NBI)</w:t>
      </w:r>
    </w:p>
    <w:p>
      <w:pPr>
        <w:pStyle w:val="FirstParagraph"/>
      </w:pPr>
      <w:r>
        <w:t xml:space="preserve">Personas en hogares con al menos un niño de 6 a 12 años que no asiste a la escuela.</w:t>
      </w:r>
    </w:p>
    <w:p>
      <w:pPr>
        <w:pStyle w:val="DefinitionTerm"/>
      </w:pPr>
      <w:r>
        <w:t xml:space="preserve">Cálculo</w:t>
      </w:r>
    </w:p>
    <w:p>
      <w:pPr>
        <w:pStyle w:val="Definition"/>
      </w:pPr>
      <w:r>
        <w:t xml:space="preserve">Personas en hogares con inasistencia / población total × 100.</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Señala riesgos de trabajo infantil y trayectorias educativas interrumpidas.</w:t>
      </w:r>
    </w:p>
    <w:p>
      <w:pPr>
        <w:pStyle w:val="DefinitionTerm"/>
      </w:pPr>
      <w:r>
        <w:t xml:space="preserve">Limitaciones</w:t>
      </w:r>
    </w:p>
    <w:p>
      <w:pPr>
        <w:pStyle w:val="Definition"/>
      </w:pPr>
      <w:r>
        <w:t xml:space="preserve">Censo 2018.</w:t>
      </w:r>
    </w:p>
    <w:p>
      <w:pPr>
        <w:pStyle w:val="DefinitionTerm"/>
      </w:pPr>
      <w:r>
        <w:t xml:space="preserve">Fuente</w:t>
      </w:r>
    </w:p>
    <w:p>
      <w:pPr>
        <w:pStyle w:val="Definition"/>
      </w:pPr>
      <w:r>
        <w:t xml:space="preserve">DANE, Censo Nacional de Población y Vivienda 2018, necesidades básicas insatisfechas · 2018 · censal. Referencia: Minsalud, Guía para la actualización del ASIS 2026</w:t>
      </w:r>
    </w:p>
    <w:bookmarkEnd w:id="81"/>
    <w:bookmarkEnd w:id="82"/>
    <w:bookmarkEnd w:id="83"/>
    <w:bookmarkStart w:id="90" w:name="aseguramiento-y-acceso"/>
    <w:p>
      <w:pPr>
        <w:pStyle w:val="Heading3"/>
      </w:pPr>
      <w:r>
        <w:t xml:space="preserve">Aseguramiento y acceso</w:t>
      </w:r>
    </w:p>
    <w:bookmarkStart w:id="85" w:name="ind-afil_cobertura"/>
    <w:bookmarkStart w:id="84" w:name="cobertura-de-afiliación"/>
    <w:p>
      <w:pPr>
        <w:pStyle w:val="Heading4"/>
      </w:pPr>
      <w:r>
        <w:t xml:space="preserve">Cobertura de afiliación</w:t>
      </w:r>
    </w:p>
    <w:p>
      <w:pPr>
        <w:pStyle w:val="FirstParagraph"/>
      </w:pPr>
      <w:r>
        <w:t xml:space="preserve">Personas afiliadas al sistema de salud con residencia en el municipio, frente a su población.</w:t>
      </w:r>
    </w:p>
    <w:p>
      <w:pPr>
        <w:pStyle w:val="DefinitionTerm"/>
      </w:pPr>
      <w:r>
        <w:t xml:space="preserve">Cálculo</w:t>
      </w:r>
    </w:p>
    <w:p>
      <w:pPr>
        <w:pStyle w:val="Definition"/>
      </w:pPr>
      <w:r>
        <w:t xml:space="preserve">Afiliados en la BDUA del municipio / población DANE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Antes de concluir que hay población sin afiliar, cruce la BDUA con la base de población del municipio.</w:t>
      </w:r>
    </w:p>
    <w:p>
      <w:pPr>
        <w:pStyle w:val="DefinitionTerm"/>
      </w:pPr>
      <w:r>
        <w:t xml:space="preserve">Limitaciones</w:t>
      </w:r>
    </w:p>
    <w:p>
      <w:pPr>
        <w:pStyle w:val="Definition"/>
      </w:pPr>
      <w:r>
        <w:t xml:space="preserve">Una persona puede estar afiliada en otro municipio; la proyección DANE puede no coincidir con la población real.</w:t>
      </w:r>
    </w:p>
    <w:p>
      <w:pPr>
        <w:pStyle w:val="DefinitionTerm"/>
      </w:pPr>
      <w:r>
        <w:t xml:space="preserve">Fuente</w:t>
      </w:r>
    </w:p>
    <w:p>
      <w:pPr>
        <w:pStyle w:val="Definition"/>
      </w:pPr>
      <w:r>
        <w:t xml:space="preserve">Minsalud, Base de Datos Única de Afiliados (BDUA) y DANE, proyecciones de población · 2025 · anual. Referencia: Ley 1438 de 2011; Decreto 780 de 2016</w:t>
      </w:r>
    </w:p>
    <w:bookmarkEnd w:id="84"/>
    <w:bookmarkEnd w:id="85"/>
    <w:bookmarkStart w:id="87" w:name="ind-vac_penta3"/>
    <w:bookmarkStart w:id="86" w:name="cobertura-de-pentavalente-3.ª-dosis"/>
    <w:p>
      <w:pPr>
        <w:pStyle w:val="Heading4"/>
      </w:pPr>
      <w:r>
        <w:t xml:space="preserve">Cobertura de pentavalente, 3.ª dosis</w:t>
      </w:r>
    </w:p>
    <w:p>
      <w:pPr>
        <w:pStyle w:val="FirstParagraph"/>
      </w:pPr>
      <w:r>
        <w:t xml:space="preserve">Porcentaje de menores de 1 año con el esquema completo de pentavalente (difteria, tos ferina, tétanos, hepatitis B y Haemophilus).</w:t>
      </w:r>
    </w:p>
    <w:p>
      <w:pPr>
        <w:pStyle w:val="DefinitionTerm"/>
      </w:pPr>
      <w:r>
        <w:t xml:space="preserve">Cálculo</w:t>
      </w:r>
    </w:p>
    <w:p>
      <w:pPr>
        <w:pStyle w:val="Definition"/>
      </w:pPr>
      <w:r>
        <w:t xml:space="preserve">Menores de 1 año con 3.ª dosis / población menor de 1 año (meta)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Es el trazador principal del PAI: por debajo de 95 % hay niños susceptibles; haga seguimiento nominal.</w:t>
      </w:r>
    </w:p>
    <w:p>
      <w:pPr>
        <w:pStyle w:val="DefinitionTerm"/>
      </w:pPr>
      <w:r>
        <w:t xml:space="preserve">Limitaciones</w:t>
      </w:r>
    </w:p>
    <w:p>
      <w:pPr>
        <w:pStyle w:val="Definition"/>
      </w:pPr>
      <w:r>
        <w:t xml:space="preserve">Con pocos nacimientos, uno o dos niños cambian mucho el porcentaje.</w:t>
      </w:r>
    </w:p>
    <w:p>
      <w:pPr>
        <w:pStyle w:val="DefinitionTerm"/>
      </w:pPr>
      <w:r>
        <w:t xml:space="preserve">Fuente</w:t>
      </w:r>
    </w:p>
    <w:p>
      <w:pPr>
        <w:pStyle w:val="Definition"/>
      </w:pPr>
      <w:r>
        <w:t xml:space="preserve">Minsalud, coberturas administrativas de vacunación (cubo PAI, SISPRO) · 2025 · anual. Referencia: Minsalud, Guía para la actualización del ASIS 2026</w:t>
      </w:r>
    </w:p>
    <w:bookmarkEnd w:id="86"/>
    <w:bookmarkEnd w:id="87"/>
    <w:bookmarkStart w:id="89" w:name="ind-vac_triple_viral"/>
    <w:bookmarkStart w:id="88" w:name="cobertura-de-triple-viral-al-año"/>
    <w:p>
      <w:pPr>
        <w:pStyle w:val="Heading4"/>
      </w:pPr>
      <w:r>
        <w:t xml:space="preserve">Cobertura de triple viral al año</w:t>
      </w:r>
    </w:p>
    <w:p>
      <w:pPr>
        <w:pStyle w:val="FirstParagraph"/>
      </w:pPr>
      <w:r>
        <w:t xml:space="preserve">Porcentaje de niños de 1 año vacunados contra sarampión, rubéola y paperas.</w:t>
      </w:r>
    </w:p>
    <w:p>
      <w:pPr>
        <w:pStyle w:val="DefinitionTerm"/>
      </w:pPr>
      <w:r>
        <w:t xml:space="preserve">Cálculo</w:t>
      </w:r>
    </w:p>
    <w:p>
      <w:pPr>
        <w:pStyle w:val="Definition"/>
      </w:pPr>
      <w:r>
        <w:t xml:space="preserve">Niños de 1 año con triple viral / población de 1 año (meta) × 100.</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Por debajo de 95 % hay riesgo de brotes de sarampión.</w:t>
      </w:r>
    </w:p>
    <w:p>
      <w:pPr>
        <w:pStyle w:val="DefinitionTerm"/>
      </w:pPr>
      <w:r>
        <w:t xml:space="preserve">Limitaciones</w:t>
      </w:r>
    </w:p>
    <w:p>
      <w:pPr>
        <w:pStyle w:val="Definition"/>
      </w:pPr>
      <w:r>
        <w:t xml:space="preserve">El denominador es una meta programática, no un conteo.</w:t>
      </w:r>
    </w:p>
    <w:p>
      <w:pPr>
        <w:pStyle w:val="DefinitionTerm"/>
      </w:pPr>
      <w:r>
        <w:t xml:space="preserve">Fuente</w:t>
      </w:r>
    </w:p>
    <w:p>
      <w:pPr>
        <w:pStyle w:val="Definition"/>
      </w:pPr>
      <w:r>
        <w:t xml:space="preserve">Minsalud, coberturas administrativas de vacunación (cubo PAI, SISPRO) · 2025 · anual. Referencia: Minsalud, Guía para la actualización del ASIS 2026</w:t>
      </w:r>
    </w:p>
    <w:bookmarkEnd w:id="88"/>
    <w:bookmarkEnd w:id="89"/>
    <w:bookmarkEnd w:id="90"/>
    <w:bookmarkStart w:id="99" w:name="mortalidad"/>
    <w:p>
      <w:pPr>
        <w:pStyle w:val="Heading3"/>
      </w:pPr>
      <w:r>
        <w:t xml:space="preserve">Mortalidad</w:t>
      </w:r>
    </w:p>
    <w:bookmarkStart w:id="92" w:name="ind-mort_general_aj"/>
    <w:bookmarkStart w:id="91" w:name="Xc98a1c1e2994a0d7c35b86da8c899b8972d200c"/>
    <w:p>
      <w:pPr>
        <w:pStyle w:val="Heading4"/>
      </w:pPr>
      <w:r>
        <w:t xml:space="preserve">Mortalidad general ajustada por edad (índice municipal)</w:t>
      </w:r>
    </w:p>
    <w:p>
      <w:pPr>
        <w:pStyle w:val="FirstParagraph"/>
      </w:pPr>
      <w:r>
        <w:t xml:space="preserve">Muertes por todas las causas por cada 100.000 habitantes, ajustadas por edad y suavizadas para municipios pequeños.</w:t>
      </w:r>
    </w:p>
    <w:p>
      <w:pPr>
        <w:pStyle w:val="DefinitionTerm"/>
      </w:pPr>
      <w:r>
        <w:t xml:space="preserve">Cálculo</w:t>
      </w:r>
    </w:p>
    <w:p>
      <w:pPr>
        <w:pStyle w:val="Definition"/>
      </w:pPr>
      <w:r>
        <w:t xml:space="preserve">Suma de las tasas ajustadas de las grandes causas 2024, suavizada por Bayes empírico hacia la media nacional (estimador global de Marshall).</w:t>
      </w:r>
      <w:r>
        <w:t xml:space="preserve"> </w:t>
      </w:r>
      <w:r>
        <w:t xml:space="preserve">(por 100.000 habitantes)</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En el ranking, una mortalidad más alta resta puntos; si es muy baja frente al departamento, verifique subregistro.</w:t>
      </w:r>
    </w:p>
    <w:p>
      <w:pPr>
        <w:pStyle w:val="DefinitionTerm"/>
      </w:pPr>
      <w:r>
        <w:t xml:space="preserve">Limitaciones</w:t>
      </w:r>
    </w:p>
    <w:p>
      <w:pPr>
        <w:pStyle w:val="Definition"/>
      </w:pPr>
      <w:r>
        <w:t xml:space="preserve">Un solo año; el subregistro de defunciones rurales puede hacerla parecer mejor de lo que es.</w:t>
      </w:r>
    </w:p>
    <w:p>
      <w:pPr>
        <w:pStyle w:val="DefinitionTerm"/>
      </w:pPr>
      <w:r>
        <w:t xml:space="preserve">Fuente</w:t>
      </w:r>
    </w:p>
    <w:p>
      <w:pPr>
        <w:pStyle w:val="Definition"/>
      </w:pPr>
      <w:r>
        <w:t xml:space="preserve">Minsalud, indicadores de mortalidad por entidad territorial (EEVV-DANE), bases ASIS 2026 · 2024 · anual. Referencia: Marshall (1991); guía ASIS 2026</w:t>
      </w:r>
    </w:p>
    <w:bookmarkEnd w:id="91"/>
    <w:bookmarkEnd w:id="92"/>
    <w:bookmarkStart w:id="94" w:name="ind-avpp_aj"/>
    <w:bookmarkStart w:id="93" w:name="avpp-ajustados-por-edad-índice-municipal"/>
    <w:p>
      <w:pPr>
        <w:pStyle w:val="Heading4"/>
      </w:pPr>
      <w:r>
        <w:t xml:space="preserve">AVPP ajustados por edad (índice municipal)</w:t>
      </w:r>
    </w:p>
    <w:p>
      <w:pPr>
        <w:pStyle w:val="FirstParagraph"/>
      </w:pPr>
      <w:r>
        <w:t xml:space="preserve">Años de vida perdidos por muerte prematura por cada 100.000 habitantes, ajustados por edad y suavizados.</w:t>
      </w:r>
    </w:p>
    <w:p>
      <w:pPr>
        <w:pStyle w:val="DefinitionTerm"/>
      </w:pPr>
      <w:r>
        <w:t xml:space="preserve">Cálculo</w:t>
      </w:r>
    </w:p>
    <w:p>
      <w:pPr>
        <w:pStyle w:val="Definition"/>
      </w:pPr>
      <w:r>
        <w:t xml:space="preserve">Tasa ajustada de AVPP por todas las causas 2024, suavizada por Bayes empírico.</w:t>
      </w:r>
      <w:r>
        <w:t xml:space="preserve"> </w:t>
      </w:r>
      <w:r>
        <w:t xml:space="preserve">(años por 100.000 habitantes)</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En el ranking, más años perdidos restan puntos en la dimensión de mortalidad.</w:t>
      </w:r>
    </w:p>
    <w:p>
      <w:pPr>
        <w:pStyle w:val="DefinitionTerm"/>
      </w:pPr>
      <w:r>
        <w:t xml:space="preserve">Limitaciones</w:t>
      </w:r>
    </w:p>
    <w:p>
      <w:pPr>
        <w:pStyle w:val="Definition"/>
      </w:pPr>
      <w:r>
        <w:t xml:space="preserve">Un solo año; sensible a pocos eventos en jóvenes.</w:t>
      </w:r>
    </w:p>
    <w:p>
      <w:pPr>
        <w:pStyle w:val="DefinitionTerm"/>
      </w:pPr>
      <w:r>
        <w:t xml:space="preserve">Fuente</w:t>
      </w:r>
    </w:p>
    <w:p>
      <w:pPr>
        <w:pStyle w:val="Definition"/>
      </w:pPr>
      <w:r>
        <w:t xml:space="preserve">Minsalud, indicadores de mortalidad por entidad territorial (EEVV-DANE), bases ASIS 2026 · 2024 · anual. Referencia: OPS; Marshall (1991)</w:t>
      </w:r>
    </w:p>
    <w:bookmarkEnd w:id="93"/>
    <w:bookmarkEnd w:id="94"/>
    <w:bookmarkStart w:id="96" w:name="ind-mort_infantil_5a"/>
    <w:bookmarkStart w:id="95" w:name="Xf49e69dcef8e5a4caf6a4399a09dd307224bca3"/>
    <w:p>
      <w:pPr>
        <w:pStyle w:val="Heading4"/>
      </w:pPr>
      <w:r>
        <w:t xml:space="preserve">Mortalidad infantil, promedio de cinco años (índice municipal)</w:t>
      </w:r>
    </w:p>
    <w:p>
      <w:pPr>
        <w:pStyle w:val="FirstParagraph"/>
      </w:pPr>
      <w:r>
        <w:t xml:space="preserve">Niños que mueren antes de cumplir un año por cada 1.000 nacidos vivos, promediando 2020-2024 para estabilizar el valor.</w:t>
      </w:r>
    </w:p>
    <w:p>
      <w:pPr>
        <w:pStyle w:val="DefinitionTerm"/>
      </w:pPr>
      <w:r>
        <w:t xml:space="preserve">Cálculo</w:t>
      </w:r>
    </w:p>
    <w:p>
      <w:pPr>
        <w:pStyle w:val="Definition"/>
      </w:pPr>
      <w:r>
        <w:t xml:space="preserve">Promedio 2020-2024 de la tasa de mortalidad en menores de un año del cubo por área de residencia.</w:t>
      </w:r>
      <w:r>
        <w:t xml:space="preserve"> </w:t>
      </w:r>
      <w:r>
        <w:t xml:space="preserve">(por 1.000 nacidos vivos)</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En el ranking, más mortalidad infantil resta puntos en la dimensión materno-infantil.</w:t>
      </w:r>
    </w:p>
    <w:p>
      <w:pPr>
        <w:pStyle w:val="DefinitionTerm"/>
      </w:pPr>
      <w:r>
        <w:t xml:space="preserve">Limitaciones</w:t>
      </w:r>
    </w:p>
    <w:p>
      <w:pPr>
        <w:pStyle w:val="Definition"/>
      </w:pPr>
      <w:r>
        <w:t xml:space="preserve">Promediar tasas anuales da igual peso a años con pocos nacimientos.</w:t>
      </w:r>
    </w:p>
    <w:p>
      <w:pPr>
        <w:pStyle w:val="DefinitionTerm"/>
      </w:pPr>
      <w:r>
        <w:t xml:space="preserve">Fuente</w:t>
      </w:r>
    </w:p>
    <w:p>
      <w:pPr>
        <w:pStyle w:val="Definition"/>
      </w:pPr>
      <w:r>
        <w:t xml:space="preserve">Minsalud, cubo de indicadores por área de residencia y etnia (SISPRO), a partir de EEVV-DANE · 2020-2024 · anual. Referencia: ODS 3.2</w:t>
      </w:r>
    </w:p>
    <w:bookmarkEnd w:id="95"/>
    <w:bookmarkEnd w:id="96"/>
    <w:bookmarkStart w:id="98" w:name="ind-mort_ninez_5a"/>
    <w:bookmarkStart w:id="97" w:name="X41c6c4bdf3a67f039b08c55d3a471f9082d8e92"/>
    <w:p>
      <w:pPr>
        <w:pStyle w:val="Heading4"/>
      </w:pPr>
      <w:r>
        <w:t xml:space="preserve">Mortalidad en la niñez, promedio de cinco años (índice municipal)</w:t>
      </w:r>
    </w:p>
    <w:p>
      <w:pPr>
        <w:pStyle w:val="FirstParagraph"/>
      </w:pPr>
      <w:r>
        <w:t xml:space="preserve">Niños que mueren antes de cumplir cinco años por cada 1.000 nacidos vivos, promedio 2020-2024.</w:t>
      </w:r>
    </w:p>
    <w:p>
      <w:pPr>
        <w:pStyle w:val="DefinitionTerm"/>
      </w:pPr>
      <w:r>
        <w:t xml:space="preserve">Cálculo</w:t>
      </w:r>
    </w:p>
    <w:p>
      <w:pPr>
        <w:pStyle w:val="Definition"/>
      </w:pPr>
      <w:r>
        <w:t xml:space="preserve">Promedio 2020-2024 de la tasa de mortalidad en menores de 5 años del cubo por área de residencia.</w:t>
      </w:r>
      <w:r>
        <w:t xml:space="preserve"> </w:t>
      </w:r>
      <w:r>
        <w:t xml:space="preserve">(por 1.000 nacidos vivos)</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Resta puntos en la dimensión materno-infantil del ranking.</w:t>
      </w:r>
    </w:p>
    <w:p>
      <w:pPr>
        <w:pStyle w:val="DefinitionTerm"/>
      </w:pPr>
      <w:r>
        <w:t xml:space="preserve">Limitaciones</w:t>
      </w:r>
    </w:p>
    <w:p>
      <w:pPr>
        <w:pStyle w:val="Definition"/>
      </w:pPr>
      <w:r>
        <w:t xml:space="preserve">Promedio simple de tasas anuales.</w:t>
      </w:r>
    </w:p>
    <w:p>
      <w:pPr>
        <w:pStyle w:val="DefinitionTerm"/>
      </w:pPr>
      <w:r>
        <w:t xml:space="preserve">Fuente</w:t>
      </w:r>
    </w:p>
    <w:p>
      <w:pPr>
        <w:pStyle w:val="Definition"/>
      </w:pPr>
      <w:r>
        <w:t xml:space="preserve">Minsalud, cubo de indicadores por área de residencia y etnia (SISPRO), a partir de EEVV-DANE · 2020-2024 · anual. Referencia: ODS 3.2</w:t>
      </w:r>
    </w:p>
    <w:bookmarkEnd w:id="97"/>
    <w:bookmarkEnd w:id="98"/>
    <w:bookmarkEnd w:id="99"/>
    <w:bookmarkStart w:id="110" w:name="salud-materno-infantil"/>
    <w:p>
      <w:pPr>
        <w:pStyle w:val="Heading3"/>
      </w:pPr>
      <w:r>
        <w:t xml:space="preserve">Salud materno-infantil</w:t>
      </w:r>
    </w:p>
    <w:bookmarkStart w:id="101" w:name="ind-bajo_peso_5a"/>
    <w:bookmarkStart w:id="100" w:name="Xcefd74db32d238a3b59f8520bdd171250a7df27"/>
    <w:p>
      <w:pPr>
        <w:pStyle w:val="Heading4"/>
      </w:pPr>
      <w:r>
        <w:t xml:space="preserve">Bajo peso al nacer, promedio de cinco años (índice municipal)</w:t>
      </w:r>
    </w:p>
    <w:p>
      <w:pPr>
        <w:pStyle w:val="FirstParagraph"/>
      </w:pPr>
      <w:r>
        <w:t xml:space="preserve">Bajo peso al nacer, estabilizado con el promedio de los últimos cinco años.</w:t>
      </w:r>
    </w:p>
    <w:p>
      <w:pPr>
        <w:pStyle w:val="DefinitionTerm"/>
      </w:pPr>
      <w:r>
        <w:t xml:space="preserve">Cálculo</w:t>
      </w:r>
    </w:p>
    <w:p>
      <w:pPr>
        <w:pStyle w:val="Definition"/>
      </w:pPr>
      <w:r>
        <w:t xml:space="preserve">Promedio 2020-2024 del porcentaje de nacidos vivos con menos de 2.500 g.</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Resta puntos en la dimensión materno-infantil del ranking.</w:t>
      </w:r>
    </w:p>
    <w:p>
      <w:pPr>
        <w:pStyle w:val="DefinitionTerm"/>
      </w:pPr>
      <w:r>
        <w:t xml:space="preserve">Limitaciones</w:t>
      </w:r>
    </w:p>
    <w:p>
      <w:pPr>
        <w:pStyle w:val="Definition"/>
      </w:pPr>
      <w:r>
        <w:t xml:space="preserve">Promedio simple de valores anuales: no pondera por número de nacimientos.</w:t>
      </w:r>
    </w:p>
    <w:p>
      <w:pPr>
        <w:pStyle w:val="DefinitionTerm"/>
      </w:pPr>
      <w:r>
        <w:t xml:space="preserve">Fuente</w:t>
      </w:r>
    </w:p>
    <w:p>
      <w:pPr>
        <w:pStyle w:val="Definition"/>
      </w:pPr>
      <w:r>
        <w:t xml:space="preserve">Minsalud, cubo de indicadores por área de residencia y etnia (SISPRO), a partir de EEVV-DANE · 2020-2024 · anual. Referencia: SISPRO, fichas técnicas; ODS 3</w:t>
      </w:r>
    </w:p>
    <w:bookmarkEnd w:id="100"/>
    <w:bookmarkEnd w:id="101"/>
    <w:bookmarkStart w:id="103" w:name="ind-madres_10_14_5a"/>
    <w:bookmarkStart w:id="102" w:name="X590adeb671d8e3ead0102d4f539fcb98cf73a69"/>
    <w:p>
      <w:pPr>
        <w:pStyle w:val="Heading4"/>
      </w:pPr>
      <w:r>
        <w:t xml:space="preserve">Nacidos vivos de madres de 10 a 14 años, promedio de cinco años (índice municipal)</w:t>
      </w:r>
    </w:p>
    <w:p>
      <w:pPr>
        <w:pStyle w:val="FirstParagraph"/>
      </w:pPr>
      <w:r>
        <w:t xml:space="preserve">Nacidos vivos de madres de 10 a 14 años, estabilizado con el promedio de los últimos cinco años.</w:t>
      </w:r>
    </w:p>
    <w:p>
      <w:pPr>
        <w:pStyle w:val="DefinitionTerm"/>
      </w:pPr>
      <w:r>
        <w:t xml:space="preserve">Cálculo</w:t>
      </w:r>
    </w:p>
    <w:p>
      <w:pPr>
        <w:pStyle w:val="Definition"/>
      </w:pPr>
      <w:r>
        <w:t xml:space="preserve">Promedio 2020-2024 del porcentaje de nacidos vivos de mujeres menores de 15 años.</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Todo embarazo antes de los 14 años es presuntamente producto de violencia sexual: cada caso exige activar la ruta de protección.</w:t>
      </w:r>
    </w:p>
    <w:p>
      <w:pPr>
        <w:pStyle w:val="DefinitionTerm"/>
      </w:pPr>
      <w:r>
        <w:t xml:space="preserve">Limitaciones</w:t>
      </w:r>
    </w:p>
    <w:p>
      <w:pPr>
        <w:pStyle w:val="Definition"/>
      </w:pPr>
      <w:r>
        <w:t xml:space="preserve">Promedio simple de valores anuales: no pondera por número de nacimientos.</w:t>
      </w:r>
    </w:p>
    <w:p>
      <w:pPr>
        <w:pStyle w:val="DefinitionTerm"/>
      </w:pPr>
      <w:r>
        <w:t xml:space="preserve">Fuente</w:t>
      </w:r>
    </w:p>
    <w:p>
      <w:pPr>
        <w:pStyle w:val="Definition"/>
      </w:pPr>
      <w:r>
        <w:t xml:space="preserve">Minsalud, cubo de indicadores por área de residencia y etnia (SISPRO), a partir de EEVV-DANE · 2020-2024 · anual. Referencia: SISPRO, fichas técnicas; ODS 3</w:t>
      </w:r>
    </w:p>
    <w:bookmarkEnd w:id="102"/>
    <w:bookmarkEnd w:id="103"/>
    <w:bookmarkStart w:id="105" w:name="ind-madres_14_17_5a"/>
    <w:bookmarkStart w:id="104" w:name="Xb99f5f46d82ec162d9f2930f649b92ccfc10950"/>
    <w:p>
      <w:pPr>
        <w:pStyle w:val="Heading4"/>
      </w:pPr>
      <w:r>
        <w:t xml:space="preserve">Nacidos vivos de madres de 14 a 17 años, promedio de cinco años (índice municipal)</w:t>
      </w:r>
    </w:p>
    <w:p>
      <w:pPr>
        <w:pStyle w:val="FirstParagraph"/>
      </w:pPr>
      <w:r>
        <w:t xml:space="preserve">Nacidos vivos de madres de 14 a 17 años, estabilizado con el promedio de los últimos cinco años.</w:t>
      </w:r>
    </w:p>
    <w:p>
      <w:pPr>
        <w:pStyle w:val="DefinitionTerm"/>
      </w:pPr>
      <w:r>
        <w:t xml:space="preserve">Cálculo</w:t>
      </w:r>
    </w:p>
    <w:p>
      <w:pPr>
        <w:pStyle w:val="Definition"/>
      </w:pPr>
      <w:r>
        <w:t xml:space="preserve">Promedio 2020-2024 del porcentaje de nacidos vivos de mujeres de 14 a 17 años.</w:t>
      </w:r>
      <w:r>
        <w:t xml:space="preserve"> </w:t>
      </w:r>
      <w:r>
        <w:t xml:space="preserve">(%)</w:t>
      </w:r>
    </w:p>
    <w:p>
      <w:pPr>
        <w:pStyle w:val="DefinitionTerm"/>
      </w:pPr>
      <w:r>
        <w:t xml:space="preserve">Dirección</w:t>
      </w:r>
    </w:p>
    <w:p>
      <w:pPr>
        <w:pStyle w:val="Definition"/>
      </w:pPr>
      <w:r>
        <w:t xml:space="preserve">▼ más alto es peor</w:t>
      </w:r>
    </w:p>
    <w:p>
      <w:pPr>
        <w:pStyle w:val="DefinitionTerm"/>
      </w:pPr>
      <w:r>
        <w:t xml:space="preserve">Cómo leerlo</w:t>
      </w:r>
    </w:p>
    <w:p>
      <w:pPr>
        <w:pStyle w:val="Definition"/>
      </w:pPr>
      <w:r>
        <w:t xml:space="preserve">Resta puntos en la dimensión materno-infantil del ranking.</w:t>
      </w:r>
    </w:p>
    <w:p>
      <w:pPr>
        <w:pStyle w:val="DefinitionTerm"/>
      </w:pPr>
      <w:r>
        <w:t xml:space="preserve">Limitaciones</w:t>
      </w:r>
    </w:p>
    <w:p>
      <w:pPr>
        <w:pStyle w:val="Definition"/>
      </w:pPr>
      <w:r>
        <w:t xml:space="preserve">Promedio simple de valores anuales: no pondera por número de nacimientos.</w:t>
      </w:r>
    </w:p>
    <w:p>
      <w:pPr>
        <w:pStyle w:val="DefinitionTerm"/>
      </w:pPr>
      <w:r>
        <w:t xml:space="preserve">Fuente</w:t>
      </w:r>
    </w:p>
    <w:p>
      <w:pPr>
        <w:pStyle w:val="Definition"/>
      </w:pPr>
      <w:r>
        <w:t xml:space="preserve">Minsalud, cubo de indicadores por área de residencia y etnia (SISPRO), a partir de EEVV-DANE · 2020-2024 · anual. Referencia: SISPRO, fichas técnicas; ODS 3</w:t>
      </w:r>
    </w:p>
    <w:bookmarkEnd w:id="104"/>
    <w:bookmarkEnd w:id="105"/>
    <w:bookmarkStart w:id="107" w:name="ind-controles_prenatales_5a"/>
    <w:bookmarkStart w:id="106" w:name="X8ad54aeb2134999f58bf74592d88cf5566e36c9"/>
    <w:p>
      <w:pPr>
        <w:pStyle w:val="Heading4"/>
      </w:pPr>
      <w:r>
        <w:t xml:space="preserve">Cuatro o más controles prenatales, promedio de cinco años (índice municipal)</w:t>
      </w:r>
    </w:p>
    <w:p>
      <w:pPr>
        <w:pStyle w:val="FirstParagraph"/>
      </w:pPr>
      <w:r>
        <w:t xml:space="preserve">Cuatro o más controles prenatales, estabilizado con el promedio de los últimos cinco años.</w:t>
      </w:r>
    </w:p>
    <w:p>
      <w:pPr>
        <w:pStyle w:val="DefinitionTerm"/>
      </w:pPr>
      <w:r>
        <w:t xml:space="preserve">Cálculo</w:t>
      </w:r>
    </w:p>
    <w:p>
      <w:pPr>
        <w:pStyle w:val="Definition"/>
      </w:pPr>
      <w:r>
        <w:t xml:space="preserve">Promedio 2020-2024 del porcentaje de nacidos vivos con 4 o más controles prenatales.</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Suma puntos en la dimensión materno-infantil del ranking.</w:t>
      </w:r>
    </w:p>
    <w:p>
      <w:pPr>
        <w:pStyle w:val="DefinitionTerm"/>
      </w:pPr>
      <w:r>
        <w:t xml:space="preserve">Limitaciones</w:t>
      </w:r>
    </w:p>
    <w:p>
      <w:pPr>
        <w:pStyle w:val="Definition"/>
      </w:pPr>
      <w:r>
        <w:t xml:space="preserve">Promedio simple de valores anuales: no pondera por número de nacimientos.</w:t>
      </w:r>
    </w:p>
    <w:p>
      <w:pPr>
        <w:pStyle w:val="DefinitionTerm"/>
      </w:pPr>
      <w:r>
        <w:t xml:space="preserve">Fuente</w:t>
      </w:r>
    </w:p>
    <w:p>
      <w:pPr>
        <w:pStyle w:val="Definition"/>
      </w:pPr>
      <w:r>
        <w:t xml:space="preserve">Minsalud, cubo de indicadores por área de residencia y etnia (SISPRO), a partir de EEVV-DANE · 2020-2024 · anual. Referencia: SISPRO, fichas técnicas; ODS 3</w:t>
      </w:r>
    </w:p>
    <w:bookmarkEnd w:id="106"/>
    <w:bookmarkEnd w:id="107"/>
    <w:bookmarkStart w:id="109" w:name="ind-partos_institucionales_5a"/>
    <w:bookmarkStart w:id="108" w:name="Xb677352549836b623042c1a6d48492f7f794625"/>
    <w:p>
      <w:pPr>
        <w:pStyle w:val="Heading4"/>
      </w:pPr>
      <w:r>
        <w:t xml:space="preserve">Partos institucionales, promedio de cinco años (índice municipal)</w:t>
      </w:r>
    </w:p>
    <w:p>
      <w:pPr>
        <w:pStyle w:val="FirstParagraph"/>
      </w:pPr>
      <w:r>
        <w:t xml:space="preserve">Partos institucionales, estabilizado con el promedio de los últimos cinco años.</w:t>
      </w:r>
    </w:p>
    <w:p>
      <w:pPr>
        <w:pStyle w:val="DefinitionTerm"/>
      </w:pPr>
      <w:r>
        <w:t xml:space="preserve">Cálculo</w:t>
      </w:r>
    </w:p>
    <w:p>
      <w:pPr>
        <w:pStyle w:val="Definition"/>
      </w:pPr>
      <w:r>
        <w:t xml:space="preserve">Promedio 2020-2024 del porcentaje de partos atendidos en institución.</w:t>
      </w:r>
      <w:r>
        <w:t xml:space="preserve"> </w:t>
      </w:r>
      <w:r>
        <w:t xml:space="preserve">(%)</w:t>
      </w:r>
    </w:p>
    <w:p>
      <w:pPr>
        <w:pStyle w:val="DefinitionTerm"/>
      </w:pPr>
      <w:r>
        <w:t xml:space="preserve">Dirección</w:t>
      </w:r>
    </w:p>
    <w:p>
      <w:pPr>
        <w:pStyle w:val="Definition"/>
      </w:pPr>
      <w:r>
        <w:t xml:space="preserve">▲ más alto es mejor</w:t>
      </w:r>
    </w:p>
    <w:p>
      <w:pPr>
        <w:pStyle w:val="DefinitionTerm"/>
      </w:pPr>
      <w:r>
        <w:t xml:space="preserve">Cómo leerlo</w:t>
      </w:r>
    </w:p>
    <w:p>
      <w:pPr>
        <w:pStyle w:val="Definition"/>
      </w:pPr>
      <w:r>
        <w:t xml:space="preserve">Suma puntos en la dimensión materno-infantil del ranking.</w:t>
      </w:r>
    </w:p>
    <w:p>
      <w:pPr>
        <w:pStyle w:val="DefinitionTerm"/>
      </w:pPr>
      <w:r>
        <w:t xml:space="preserve">Limitaciones</w:t>
      </w:r>
    </w:p>
    <w:p>
      <w:pPr>
        <w:pStyle w:val="Definition"/>
      </w:pPr>
      <w:r>
        <w:t xml:space="preserve">Promedio simple de valores anuales: no pondera por número de nacimientos.</w:t>
      </w:r>
    </w:p>
    <w:p>
      <w:pPr>
        <w:pStyle w:val="DefinitionTerm"/>
      </w:pPr>
      <w:r>
        <w:t xml:space="preserve">Fuente</w:t>
      </w:r>
    </w:p>
    <w:p>
      <w:pPr>
        <w:pStyle w:val="Definition"/>
      </w:pPr>
      <w:r>
        <w:t xml:space="preserve">Minsalud, cubo de indicadores por área de residencia y etnia (SISPRO), a partir de EEVV-DANE · 2020-2024 · anual. Referencia: SISPRO, fichas técnicas; ODS 3</w:t>
      </w:r>
    </w:p>
    <w:bookmarkEnd w:id="108"/>
    <w:bookmarkEnd w:id="109"/>
    <w:bookmarkEnd w:id="110"/>
    <w:bookmarkEnd w:id="111"/>
    <w:bookmarkEnd w:id="112"/>
    <w:sectPr>
      <w:footerReference w:type="default" r:id="rId9"/>
      <w:pgSz w:h="15840" w:w="12240"/>
      <w:pgMar w:bottom="1247" w:left="1247"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6F6F"/>
        <w:sz w:val="16"/>
      </w:rPr>
      <w:t xml:space="preserve">Índice de Necesidad en Salud Municipal · Colombia · 2026 · página </w:t>
    </w:r>
    <w: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hAnsi="Calibri"/>
      <w:b w:val="0"/>
      <w:color w:val="1D2433"/>
      <w:sz w:val="22"/>
    </w:rPr>
  </w:style>
  <w:style w:styleId="BodyText" w:type="paragraph">
    <w:name w:val="Body Text"/>
    <w:basedOn w:val="Normal"/>
    <w:link w:val="BodyTextChar"/>
    <w:pPr>
      <w:spacing w:after="120" w:before="0" w:line="276" w:lineRule="auto"/>
    </w:pPr>
    <w:qFormat/>
    <w:rPr>
      <w:rFonts w:ascii="Calibri" w:hAnsi="Calibri"/>
      <w:b w:val="0"/>
      <w:color w:val="1D2433"/>
      <w:sz w:val="22"/>
    </w:rPr>
  </w:style>
  <w:style w:customStyle="1" w:styleId="FirstParagraph" w:type="paragraph">
    <w:name w:val="First Paragraph"/>
    <w:basedOn w:val="BodyText"/>
    <w:next w:val="BodyText"/>
    <w:qFormat/>
    <w:pPr>
      <w:spacing w:after="120" w:before="0" w:line="276" w:lineRule="auto"/>
    </w:pPr>
    <w:rPr>
      <w:rFonts w:ascii="Calibri" w:hAnsi="Calibri"/>
      <w:b w:val="0"/>
      <w:color w:val="1D2433"/>
      <w:sz w:val="22"/>
    </w:rPr>
  </w:style>
  <w:style w:customStyle="1" w:styleId="Compact" w:type="paragraph">
    <w:name w:val="Compact"/>
    <w:basedOn w:val="BodyText"/>
    <w:qFormat/>
    <w:pPr>
      <w:spacing w:after="120" w:before="0"/>
    </w:pPr>
    <w:rPr>
      <w:rFonts w:ascii="Calibri" w:hAnsi="Calibri"/>
      <w:b w:val="0"/>
      <w:color w:val="1D2433"/>
      <w:sz w:val="19"/>
    </w:rPr>
  </w:style>
  <w:style w:styleId="Title" w:type="paragraph">
    <w:name w:val="Title"/>
    <w:basedOn w:val="Normal"/>
    <w:next w:val="BodyText"/>
    <w:qFormat/>
    <w:pPr>
      <w:keepNext/>
      <w:keepLines/>
      <w:spacing w:after="120" w:before="0"/>
      <w:jc w:val="center"/>
    </w:pPr>
    <w:rPr>
      <w:rFonts w:ascii="Calibri Light" w:asciiTheme="majorHAnsi" w:cstheme="majorBidi" w:eastAsiaTheme="majorEastAsia" w:hAnsi="Calibri Light" w:hAnsiTheme="majorHAnsi"/>
      <w:b/>
      <w:bCs/>
      <w:color w:val="0F3B57"/>
      <w:sz w:val="60"/>
      <w:szCs w:val="36"/>
    </w:rPr>
  </w:style>
  <w:style w:styleId="Subtitle" w:type="paragraph">
    <w:name w:val="Subtitle"/>
    <w:basedOn w:val="Title"/>
    <w:next w:val="BodyText"/>
    <w:qFormat/>
    <w:pPr>
      <w:keepNext/>
      <w:keepLines/>
      <w:spacing w:after="360" w:before="0"/>
      <w:jc w:val="center"/>
    </w:pPr>
    <w:rPr>
      <w:rFonts w:ascii="Calibri" w:hAnsi="Calibri"/>
      <w:b w:val="0"/>
      <w:color w:val="1F5F8B"/>
      <w:sz w:val="28"/>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200" w:before="360"/>
      <w:jc w:val="left"/>
      <w:outlineLvl w:val="0"/>
    </w:pPr>
    <w:rPr>
      <w:rFonts w:ascii="Calibri Light" w:asciiTheme="majorHAnsi" w:cstheme="majorBidi" w:eastAsiaTheme="majorEastAsia" w:hAnsi="Calibri Light" w:hAnsiTheme="majorHAnsi"/>
      <w:b/>
      <w:bCs/>
      <w:color w:val="0F3B57"/>
      <w:sz w:val="44"/>
      <w:szCs w:val="32"/>
    </w:rPr>
  </w:style>
  <w:style w:styleId="Heading2" w:type="paragraph">
    <w:name w:val="Heading 2"/>
    <w:basedOn w:val="Normal"/>
    <w:next w:val="BodyText"/>
    <w:uiPriority w:val="9"/>
    <w:unhideWhenUsed/>
    <w:qFormat/>
    <w:pPr>
      <w:keepNext/>
      <w:keepLines/>
      <w:spacing w:after="120" w:before="280"/>
      <w:jc w:val="left"/>
      <w:outlineLvl w:val="1"/>
    </w:pPr>
    <w:rPr>
      <w:rFonts w:ascii="Calibri" w:asciiTheme="majorHAnsi" w:cstheme="majorBidi" w:eastAsiaTheme="majorEastAsia" w:hAnsi="Calibri" w:hAnsiTheme="majorHAnsi"/>
      <w:b/>
      <w:bCs/>
      <w:color w:val="0F3B57"/>
      <w:sz w:val="26"/>
      <w:szCs w:val="28"/>
    </w:rPr>
  </w:style>
  <w:style w:styleId="Heading3" w:type="paragraph">
    <w:name w:val="Heading 3"/>
    <w:basedOn w:val="Normal"/>
    <w:next w:val="BodyText"/>
    <w:uiPriority w:val="9"/>
    <w:unhideWhenUsed/>
    <w:qFormat/>
    <w:pPr>
      <w:keepNext/>
      <w:keepLines/>
      <w:spacing w:after="60" w:before="200"/>
      <w:jc w:val="left"/>
      <w:outlineLvl w:val="2"/>
    </w:pPr>
    <w:rPr>
      <w:rFonts w:ascii="Calibri" w:asciiTheme="majorHAnsi" w:cstheme="majorBidi" w:eastAsiaTheme="majorEastAsia" w:hAnsi="Calibri" w:hAnsiTheme="majorHAnsi"/>
      <w:b/>
      <w:bCs/>
      <w:color w:val="1D2433"/>
      <w:sz w:val="21"/>
      <w:szCs w:val="24"/>
    </w:rPr>
  </w:style>
  <w:style w:styleId="Heading4" w:type="paragraph">
    <w:name w:val="Heading 4"/>
    <w:basedOn w:val="Normal"/>
    <w:next w:val="BodyText"/>
    <w:uiPriority w:val="9"/>
    <w:unhideWhenUsed/>
    <w:qFormat/>
    <w:pPr>
      <w:keepNext/>
      <w:keepLines/>
      <w:spacing w:after="60" w:before="160"/>
      <w:outlineLvl w:val="3"/>
    </w:pPr>
    <w:rPr>
      <w:rFonts w:ascii="Calibri" w:asciiTheme="majorHAnsi" w:cstheme="majorBidi" w:eastAsiaTheme="majorEastAsia" w:hAnsi="Calibri" w:hAnsiTheme="majorHAnsi"/>
      <w:i/>
      <w:b/>
      <w:bCs/>
      <w:color w:val="1F5F8B"/>
      <w:sz w:val="18"/>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0"/>
      <w:ind w:firstLine="0" w:left="480" w:right="480"/>
    </w:pPr>
    <w:rPr>
      <w:rFonts w:ascii="Calibri" w:hAnsi="Calibri"/>
      <w:b w:val="0"/>
      <w:color w:val="5B6475"/>
      <w:sz w:val="18"/>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rFonts w:ascii="Calibri" w:hAnsi="Calibri"/>
      <w:b w:val="0"/>
      <w:i/>
      <w:color w:val="5B6475"/>
      <w:sz w:val="16"/>
    </w:rPr>
  </w:style>
  <w:style w:customStyle="1" w:styleId="TableCaption" w:type="paragraph">
    <w:name w:val="Table Caption"/>
    <w:basedOn w:val="Caption"/>
    <w:pPr>
      <w:keepNext/>
      <w:spacing w:after="120" w:before="0"/>
    </w:pPr>
    <w:rPr>
      <w:rFonts w:ascii="Calibri" w:hAnsi="Calibri"/>
      <w:b w:val="0"/>
      <w:color w:val="5B6475"/>
      <w:sz w:val="16"/>
    </w:rPr>
  </w:style>
  <w:style w:customStyle="1" w:styleId="ImageCaption" w:type="paragraph">
    <w:name w:val="Image Caption"/>
    <w:basedOn w:val="Caption"/>
    <w:pPr>
      <w:spacing w:after="120" w:before="0"/>
    </w:pPr>
    <w:rPr>
      <w:rFonts w:ascii="Calibri" w:hAnsi="Calibri"/>
      <w:b w:val="0"/>
      <w:color w:val="5B6475"/>
      <w:sz w:val="16"/>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image" Target="media/rId39.png"/><Relationship Id="rId35" Type="http://schemas.openxmlformats.org/officeDocument/2006/relationships/image" Target="media/rId35.png"/><Relationship Id="rId29" Type="http://schemas.openxmlformats.org/officeDocument/2006/relationships/image" Target="media/rId29.png"/><Relationship Id="rId25" Type="http://schemas.openxmlformats.org/officeDocument/2006/relationships/image" Target="media/rId25.png"/><Relationship Id="rId45" Type="http://schemas.openxmlformats.org/officeDocument/2006/relationships/image" Target="media/rId45.png"/><Relationship Id="rId53" Type="http://schemas.openxmlformats.org/officeDocument/2006/relationships/image" Target="media/rId53.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Índice de Necesidad en Salud Municipal · Colombia · 2026</dc:title>
  <dc:creator>Tessella Salud (Sinergística S.A.S.)</dc:creator>
  <dc:language>es-CO</dc:language>
  <cp:keywords/>
  <dcterms:created xsi:type="dcterms:W3CDTF">2026-10-18T22:19:58Z</dcterms:created>
  <dcterms:modified xsi:type="dcterms:W3CDTF">2026-10-18T22:19:58Z</dcterms:modified>
  <cp:lastModifiedBy>Tessella Salud (Sinergística S.A.S.)</cp:lastModifiedBy>
  <dc:subject>Índice de Necesidad en Salud Municipal</dc:subject>
</cp:coreProperties>
</file>

<file path=docProps/custom.xml><?xml version="1.0" encoding="utf-8"?>
<Properties xmlns="http://schemas.openxmlformats.org/officeDocument/2006/custom-properties" xmlns:vt="http://schemas.openxmlformats.org/officeDocument/2006/docPropsVTypes"/>
</file>